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4B" w:rsidRPr="00F467E3" w:rsidRDefault="006D444B" w:rsidP="006D444B">
      <w:pPr>
        <w:pStyle w:val="Ttulo1"/>
        <w:rPr>
          <w:rFonts w:asciiTheme="majorHAnsi" w:hAnsiTheme="majorHAnsi"/>
          <w:lang w:val="es-ES"/>
        </w:rPr>
      </w:pPr>
      <w:r w:rsidRPr="00F467E3">
        <w:rPr>
          <w:rFonts w:asciiTheme="majorHAnsi" w:hAnsiTheme="majorHAnsi"/>
          <w:lang w:val="es-ES"/>
        </w:rPr>
        <w:t>Planificador de unidades del PD: ejemplo 1</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300"/>
        <w:gridCol w:w="1796"/>
        <w:gridCol w:w="1444"/>
        <w:gridCol w:w="1260"/>
        <w:gridCol w:w="2006"/>
      </w:tblGrid>
      <w:tr w:rsidR="00174A1C" w:rsidRPr="00F467E3" w:rsidTr="00BA1D99">
        <w:trPr>
          <w:trHeight w:val="270"/>
        </w:trPr>
        <w:tc>
          <w:tcPr>
            <w:tcW w:w="1368" w:type="dxa"/>
            <w:shd w:val="clear" w:color="auto" w:fill="D9D9D9"/>
          </w:tcPr>
          <w:p w:rsidR="00174A1C" w:rsidRPr="00F467E3" w:rsidRDefault="00174A1C" w:rsidP="001C4BC7">
            <w:pPr>
              <w:spacing w:before="120" w:after="120" w:line="240" w:lineRule="auto"/>
              <w:jc w:val="right"/>
              <w:rPr>
                <w:rFonts w:asciiTheme="majorHAnsi" w:hAnsiTheme="majorHAnsi"/>
                <w:b/>
              </w:rPr>
            </w:pPr>
            <w:r w:rsidRPr="00F467E3">
              <w:rPr>
                <w:rFonts w:asciiTheme="majorHAnsi" w:hAnsiTheme="majorHAnsi"/>
                <w:b/>
                <w:bCs/>
              </w:rPr>
              <w:t>Profesor(es)</w:t>
            </w:r>
            <w:r w:rsidRPr="00F467E3">
              <w:rPr>
                <w:rFonts w:asciiTheme="majorHAnsi" w:hAnsiTheme="majorHAnsi"/>
              </w:rPr>
              <w:t xml:space="preserve"> </w:t>
            </w:r>
          </w:p>
        </w:tc>
        <w:tc>
          <w:tcPr>
            <w:tcW w:w="6300" w:type="dxa"/>
            <w:shd w:val="clear" w:color="auto" w:fill="FFFFFF"/>
          </w:tcPr>
          <w:p w:rsidR="00174A1C" w:rsidRPr="00F467E3" w:rsidRDefault="009D4AB1" w:rsidP="001C4BC7">
            <w:pPr>
              <w:spacing w:before="120" w:after="120" w:line="240" w:lineRule="auto"/>
              <w:rPr>
                <w:rFonts w:asciiTheme="majorHAnsi" w:hAnsiTheme="majorHAnsi"/>
              </w:rPr>
            </w:pPr>
            <w:r w:rsidRPr="00F467E3">
              <w:rPr>
                <w:rFonts w:asciiTheme="majorHAnsi" w:hAnsiTheme="majorHAnsi"/>
              </w:rPr>
              <w:t>Paul Keene; Tyler Morningstar</w:t>
            </w:r>
          </w:p>
        </w:tc>
        <w:tc>
          <w:tcPr>
            <w:tcW w:w="1796" w:type="dxa"/>
            <w:shd w:val="clear" w:color="auto" w:fill="D9D9D9"/>
          </w:tcPr>
          <w:p w:rsidR="00174A1C" w:rsidRPr="00F467E3" w:rsidRDefault="00174A1C" w:rsidP="001C4BC7">
            <w:pPr>
              <w:spacing w:before="120" w:after="120" w:line="240" w:lineRule="auto"/>
              <w:jc w:val="right"/>
              <w:rPr>
                <w:rFonts w:asciiTheme="majorHAnsi" w:hAnsiTheme="majorHAnsi"/>
                <w:b/>
                <w:lang w:val="es-ES"/>
              </w:rPr>
            </w:pPr>
            <w:r w:rsidRPr="00F467E3">
              <w:rPr>
                <w:rFonts w:asciiTheme="majorHAnsi" w:hAnsiTheme="majorHAnsi"/>
                <w:b/>
                <w:bCs/>
                <w:lang w:val="es-ES"/>
              </w:rPr>
              <w:t>Grupo de asignaturas y curso</w:t>
            </w:r>
          </w:p>
        </w:tc>
        <w:tc>
          <w:tcPr>
            <w:tcW w:w="4710" w:type="dxa"/>
            <w:gridSpan w:val="3"/>
            <w:shd w:val="clear" w:color="auto" w:fill="FFFFFF"/>
          </w:tcPr>
          <w:p w:rsidR="00174A1C" w:rsidRPr="00F467E3" w:rsidRDefault="009D4AB1" w:rsidP="001C4BC7">
            <w:pPr>
              <w:spacing w:before="120" w:after="120" w:line="240" w:lineRule="auto"/>
              <w:rPr>
                <w:rFonts w:asciiTheme="majorHAnsi" w:hAnsiTheme="majorHAnsi"/>
              </w:rPr>
            </w:pPr>
            <w:r w:rsidRPr="00F467E3">
              <w:rPr>
                <w:rFonts w:asciiTheme="majorHAnsi" w:hAnsiTheme="majorHAnsi"/>
              </w:rPr>
              <w:t>Grupo 3, Historia del IB</w:t>
            </w:r>
          </w:p>
        </w:tc>
      </w:tr>
      <w:tr w:rsidR="00174A1C" w:rsidRPr="00F467E3" w:rsidTr="00BA1D99">
        <w:trPr>
          <w:trHeight w:val="270"/>
        </w:trPr>
        <w:tc>
          <w:tcPr>
            <w:tcW w:w="1368" w:type="dxa"/>
            <w:shd w:val="clear" w:color="auto" w:fill="D9D9D9"/>
          </w:tcPr>
          <w:p w:rsidR="00B81EC0" w:rsidRPr="00F467E3" w:rsidRDefault="00174A1C" w:rsidP="00B81EC0">
            <w:pPr>
              <w:spacing w:before="120" w:after="120" w:line="240" w:lineRule="auto"/>
              <w:jc w:val="right"/>
              <w:rPr>
                <w:rFonts w:asciiTheme="majorHAnsi" w:hAnsiTheme="majorHAnsi"/>
                <w:b/>
                <w:lang w:val="es-ES"/>
              </w:rPr>
            </w:pPr>
            <w:r w:rsidRPr="00F467E3">
              <w:rPr>
                <w:rFonts w:asciiTheme="majorHAnsi" w:hAnsiTheme="majorHAnsi"/>
                <w:b/>
                <w:bCs/>
                <w:lang w:val="es-ES"/>
              </w:rPr>
              <w:t>Parte del curso y tema</w:t>
            </w:r>
          </w:p>
        </w:tc>
        <w:tc>
          <w:tcPr>
            <w:tcW w:w="6300" w:type="dxa"/>
            <w:shd w:val="clear" w:color="auto" w:fill="auto"/>
          </w:tcPr>
          <w:p w:rsidR="00174A1C" w:rsidRPr="00F467E3" w:rsidRDefault="009D4AB1" w:rsidP="001C4BC7">
            <w:pPr>
              <w:spacing w:before="120" w:after="120" w:line="240" w:lineRule="auto"/>
              <w:rPr>
                <w:rFonts w:asciiTheme="majorHAnsi" w:hAnsiTheme="majorHAnsi"/>
                <w:lang w:val="es-ES"/>
              </w:rPr>
            </w:pPr>
            <w:r w:rsidRPr="00F467E3">
              <w:rPr>
                <w:rFonts w:asciiTheme="majorHAnsi" w:hAnsiTheme="majorHAnsi"/>
                <w:lang w:val="es-ES"/>
              </w:rPr>
              <w:t>Itinerario 2, unidad temática 1: Causas, prácticas y efectos de las guerras</w:t>
            </w:r>
          </w:p>
        </w:tc>
        <w:tc>
          <w:tcPr>
            <w:tcW w:w="1796" w:type="dxa"/>
            <w:shd w:val="clear" w:color="auto" w:fill="D9D9D9"/>
          </w:tcPr>
          <w:p w:rsidR="00174A1C" w:rsidRPr="00F467E3" w:rsidRDefault="00174A1C" w:rsidP="001C4BC7">
            <w:pPr>
              <w:spacing w:before="120" w:after="120" w:line="240" w:lineRule="auto"/>
              <w:jc w:val="right"/>
              <w:rPr>
                <w:rFonts w:asciiTheme="majorHAnsi" w:hAnsiTheme="majorHAnsi"/>
                <w:b/>
                <w:lang w:val="es-ES"/>
              </w:rPr>
            </w:pPr>
            <w:r w:rsidRPr="00F467E3">
              <w:rPr>
                <w:rFonts w:asciiTheme="majorHAnsi" w:hAnsiTheme="majorHAnsi"/>
                <w:b/>
                <w:bCs/>
                <w:lang w:val="es-ES"/>
              </w:rPr>
              <w:t>NM o NS/primer o segundo año</w:t>
            </w:r>
          </w:p>
        </w:tc>
        <w:tc>
          <w:tcPr>
            <w:tcW w:w="1444" w:type="dxa"/>
            <w:shd w:val="clear" w:color="auto" w:fill="auto"/>
          </w:tcPr>
          <w:p w:rsidR="00174A1C" w:rsidRPr="00F467E3" w:rsidRDefault="007F298B" w:rsidP="001C4BC7">
            <w:pPr>
              <w:spacing w:before="120" w:after="120" w:line="240" w:lineRule="auto"/>
              <w:rPr>
                <w:rFonts w:asciiTheme="majorHAnsi" w:hAnsiTheme="majorHAnsi"/>
              </w:rPr>
            </w:pPr>
            <w:r w:rsidRPr="00F467E3">
              <w:rPr>
                <w:rFonts w:asciiTheme="majorHAnsi" w:hAnsiTheme="majorHAnsi"/>
              </w:rPr>
              <w:t>NM/primer año</w:t>
            </w:r>
          </w:p>
        </w:tc>
        <w:tc>
          <w:tcPr>
            <w:tcW w:w="1260" w:type="dxa"/>
            <w:shd w:val="clear" w:color="auto" w:fill="D9D9D9"/>
          </w:tcPr>
          <w:p w:rsidR="00174A1C" w:rsidRPr="00F467E3" w:rsidRDefault="00174A1C" w:rsidP="001C4BC7">
            <w:pPr>
              <w:spacing w:before="120" w:after="120" w:line="240" w:lineRule="auto"/>
              <w:jc w:val="right"/>
              <w:rPr>
                <w:rFonts w:asciiTheme="majorHAnsi" w:hAnsiTheme="majorHAnsi"/>
                <w:b/>
              </w:rPr>
            </w:pPr>
            <w:r w:rsidRPr="00F467E3">
              <w:rPr>
                <w:rFonts w:asciiTheme="majorHAnsi" w:hAnsiTheme="majorHAnsi"/>
                <w:b/>
                <w:bCs/>
              </w:rPr>
              <w:t>Fechas</w:t>
            </w:r>
          </w:p>
        </w:tc>
        <w:tc>
          <w:tcPr>
            <w:tcW w:w="2006" w:type="dxa"/>
            <w:shd w:val="clear" w:color="auto" w:fill="auto"/>
          </w:tcPr>
          <w:p w:rsidR="007F298B" w:rsidRPr="00F467E3" w:rsidRDefault="007F298B" w:rsidP="001C4BC7">
            <w:pPr>
              <w:spacing w:before="120" w:after="120" w:line="240" w:lineRule="auto"/>
              <w:rPr>
                <w:rFonts w:asciiTheme="majorHAnsi" w:hAnsiTheme="majorHAnsi"/>
              </w:rPr>
            </w:pPr>
            <w:r w:rsidRPr="00F467E3">
              <w:rPr>
                <w:rFonts w:asciiTheme="majorHAnsi" w:hAnsiTheme="majorHAnsi"/>
              </w:rPr>
              <w:t>1 de septiembre-15 de octubre</w:t>
            </w:r>
          </w:p>
        </w:tc>
      </w:tr>
      <w:tr w:rsidR="00174A1C" w:rsidRPr="00F467E3" w:rsidTr="00BA1D99">
        <w:trPr>
          <w:trHeight w:val="270"/>
        </w:trPr>
        <w:tc>
          <w:tcPr>
            <w:tcW w:w="7668" w:type="dxa"/>
            <w:gridSpan w:val="2"/>
            <w:shd w:val="clear" w:color="auto" w:fill="D9D9D9"/>
          </w:tcPr>
          <w:p w:rsidR="00174A1C" w:rsidRPr="00F467E3" w:rsidRDefault="00174A1C" w:rsidP="001C4BC7">
            <w:pPr>
              <w:spacing w:before="120" w:after="120" w:line="240" w:lineRule="auto"/>
              <w:rPr>
                <w:rFonts w:asciiTheme="majorHAnsi" w:hAnsiTheme="majorHAnsi"/>
                <w:b/>
                <w:lang w:val="es-ES"/>
              </w:rPr>
            </w:pPr>
            <w:r w:rsidRPr="00F467E3">
              <w:rPr>
                <w:rFonts w:asciiTheme="majorHAnsi" w:hAnsiTheme="majorHAnsi"/>
                <w:b/>
                <w:bCs/>
                <w:lang w:val="es-ES"/>
              </w:rPr>
              <w:t>Descripción y textos de la unidad</w:t>
            </w:r>
          </w:p>
        </w:tc>
        <w:tc>
          <w:tcPr>
            <w:tcW w:w="6506" w:type="dxa"/>
            <w:gridSpan w:val="4"/>
            <w:shd w:val="clear" w:color="auto" w:fill="D9D9D9"/>
          </w:tcPr>
          <w:p w:rsidR="00174A1C" w:rsidRPr="00F467E3" w:rsidRDefault="00174A1C" w:rsidP="001C4BC7">
            <w:pPr>
              <w:spacing w:before="120" w:after="120" w:line="240" w:lineRule="auto"/>
              <w:rPr>
                <w:rFonts w:asciiTheme="majorHAnsi" w:hAnsiTheme="majorHAnsi"/>
                <w:b/>
                <w:lang w:val="es-ES"/>
              </w:rPr>
            </w:pPr>
            <w:r w:rsidRPr="00F467E3">
              <w:rPr>
                <w:rFonts w:asciiTheme="majorHAnsi" w:hAnsiTheme="majorHAnsi"/>
                <w:b/>
                <w:bCs/>
                <w:lang w:val="es-ES"/>
              </w:rPr>
              <w:t>Evaluación del PD para la unidad</w:t>
            </w:r>
          </w:p>
        </w:tc>
      </w:tr>
      <w:tr w:rsidR="00174A1C" w:rsidRPr="00F467E3" w:rsidTr="00BA1D99">
        <w:trPr>
          <w:trHeight w:val="270"/>
        </w:trPr>
        <w:tc>
          <w:tcPr>
            <w:tcW w:w="7668" w:type="dxa"/>
            <w:gridSpan w:val="2"/>
            <w:shd w:val="clear" w:color="auto" w:fill="auto"/>
          </w:tcPr>
          <w:p w:rsidR="00174A1C" w:rsidRPr="00F467E3" w:rsidRDefault="009D4AB1" w:rsidP="006578A0">
            <w:pPr>
              <w:spacing w:before="120" w:after="120" w:line="240" w:lineRule="auto"/>
              <w:rPr>
                <w:rFonts w:asciiTheme="majorHAnsi" w:hAnsiTheme="majorHAnsi"/>
                <w:vertAlign w:val="subscript"/>
                <w:lang w:val="es-ES"/>
              </w:rPr>
            </w:pPr>
            <w:r w:rsidRPr="00F467E3">
              <w:rPr>
                <w:rFonts w:asciiTheme="majorHAnsi" w:hAnsiTheme="majorHAnsi"/>
                <w:lang w:val="es-ES"/>
              </w:rPr>
              <w:t>En esta unidad se examinan las causas, las prácticas y los efectos de la guerra. Se identificarán y analizarán diferentes tipos de guerra. La guerra que se estudiará será la Primera Guerra Mundial, como preparación para la prueba 2 del examen de la asignatura.</w:t>
            </w:r>
          </w:p>
        </w:tc>
        <w:tc>
          <w:tcPr>
            <w:tcW w:w="6506" w:type="dxa"/>
            <w:gridSpan w:val="4"/>
            <w:shd w:val="clear" w:color="auto" w:fill="auto"/>
          </w:tcPr>
          <w:p w:rsidR="00174A1C" w:rsidRPr="00F467E3" w:rsidRDefault="007F298B" w:rsidP="001C4BC7">
            <w:pPr>
              <w:spacing w:before="120" w:after="120" w:line="240" w:lineRule="auto"/>
              <w:rPr>
                <w:rFonts w:asciiTheme="majorHAnsi" w:hAnsiTheme="majorHAnsi"/>
                <w:lang w:val="es-ES"/>
              </w:rPr>
            </w:pPr>
            <w:r w:rsidRPr="00F467E3">
              <w:rPr>
                <w:rFonts w:asciiTheme="majorHAnsi" w:hAnsiTheme="majorHAnsi"/>
                <w:lang w:val="es-ES"/>
              </w:rPr>
              <w:t>Práctica para la prueba 2 del segundo año</w:t>
            </w:r>
          </w:p>
        </w:tc>
      </w:tr>
    </w:tbl>
    <w:p w:rsidR="006D444B" w:rsidRPr="00F467E3" w:rsidRDefault="006D444B" w:rsidP="006D444B">
      <w:pPr>
        <w:spacing w:before="120" w:after="120" w:line="240" w:lineRule="auto"/>
        <w:rPr>
          <w:rFonts w:asciiTheme="majorHAnsi" w:hAnsiTheme="majorHAnsi"/>
          <w:b/>
          <w:i/>
          <w:lang w:val="es-ES"/>
        </w:rPr>
      </w:pPr>
      <w:r w:rsidRPr="00F467E3">
        <w:rPr>
          <w:rFonts w:asciiTheme="majorHAnsi" w:hAnsiTheme="majorHAnsi"/>
          <w:b/>
          <w:bCs/>
          <w:i/>
          <w:iCs/>
          <w:lang w:val="es-ES"/>
        </w:rPr>
        <w:t>INDAGACIÓN: establecimiento del propósito de la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D444B" w:rsidRPr="00F467E3" w:rsidTr="001C4BC7">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b/>
                <w:bCs/>
                <w:lang w:val="es-ES"/>
              </w:rPr>
              <w:t>Objetivos de transferencia</w:t>
            </w:r>
          </w:p>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i/>
                <w:iCs/>
                <w:lang w:val="es-ES"/>
              </w:rPr>
              <w:t>Establezca entre uno y tres objetivos generales, amplios y a largo plazo para la unidad.</w:t>
            </w:r>
            <w:r w:rsidRPr="00F467E3">
              <w:rPr>
                <w:rFonts w:asciiTheme="majorHAnsi" w:hAnsiTheme="majorHAnsi"/>
                <w:lang w:val="es-ES"/>
              </w:rPr>
              <w:t xml:space="preserve"> </w:t>
            </w:r>
            <w:r w:rsidRPr="00F467E3">
              <w:rPr>
                <w:rFonts w:asciiTheme="majorHAnsi" w:hAnsiTheme="majorHAnsi"/>
                <w:i/>
                <w:iCs/>
                <w:lang w:val="es-ES"/>
              </w:rPr>
              <w:t>Los objetivos de transferencia son los objetivos principales que requieren que los alumnos “transfieran” o apliquen sus conocimientos, habilidades y conceptos al final de la unidad, en circunstancias nuevas o diferentes, de manera independiente y sin contar con un andamiaje proporcionado por el profesor.</w:t>
            </w:r>
            <w:r w:rsidRPr="00F467E3">
              <w:rPr>
                <w:rFonts w:asciiTheme="majorHAnsi" w:hAnsiTheme="majorHAnsi"/>
                <w:lang w:val="es-ES"/>
              </w:rPr>
              <w:t xml:space="preserve"> </w:t>
            </w:r>
          </w:p>
        </w:tc>
      </w:tr>
      <w:tr w:rsidR="006D444B" w:rsidRPr="00F467E3" w:rsidTr="001C4BC7">
        <w:tc>
          <w:tcPr>
            <w:tcW w:w="14174" w:type="dxa"/>
            <w:tcBorders>
              <w:top w:val="single" w:sz="4" w:space="0" w:color="auto"/>
              <w:left w:val="single" w:sz="4" w:space="0" w:color="auto"/>
              <w:bottom w:val="single" w:sz="4" w:space="0" w:color="auto"/>
              <w:right w:val="single" w:sz="4" w:space="0" w:color="auto"/>
            </w:tcBorders>
            <w:shd w:val="clear" w:color="auto" w:fill="auto"/>
          </w:tcPr>
          <w:p w:rsidR="007F298B" w:rsidRPr="00F467E3" w:rsidRDefault="009D4AB1" w:rsidP="009D4AB1">
            <w:pPr>
              <w:spacing w:before="120" w:after="120" w:line="240" w:lineRule="auto"/>
              <w:rPr>
                <w:rFonts w:asciiTheme="majorHAnsi" w:hAnsiTheme="majorHAnsi"/>
                <w:lang w:val="es-ES"/>
              </w:rPr>
            </w:pPr>
            <w:r w:rsidRPr="00F467E3">
              <w:rPr>
                <w:rFonts w:asciiTheme="majorHAnsi" w:hAnsiTheme="majorHAnsi"/>
                <w:lang w:val="es-ES"/>
              </w:rPr>
              <w:t>Objetivo de evaluación 2: Aplicación e interpretación</w:t>
            </w:r>
          </w:p>
          <w:p w:rsidR="009D4AB1" w:rsidRPr="00F467E3" w:rsidRDefault="009D4AB1" w:rsidP="007F298B">
            <w:pPr>
              <w:pStyle w:val="Prrafodelista"/>
              <w:numPr>
                <w:ilvl w:val="0"/>
                <w:numId w:val="4"/>
              </w:numPr>
              <w:spacing w:before="120" w:after="120" w:line="240" w:lineRule="auto"/>
              <w:rPr>
                <w:rFonts w:asciiTheme="majorHAnsi" w:hAnsiTheme="majorHAnsi"/>
                <w:lang w:val="es-ES"/>
              </w:rPr>
            </w:pPr>
            <w:r w:rsidRPr="00F467E3">
              <w:rPr>
                <w:rFonts w:asciiTheme="majorHAnsi" w:hAnsiTheme="majorHAnsi"/>
                <w:lang w:val="es-ES"/>
              </w:rPr>
              <w:t xml:space="preserve">Tener conciencia de la existencia de distintos enfoques e interpretaciones sobre cuestiones y acontecimientos históricos </w:t>
            </w:r>
          </w:p>
          <w:p w:rsidR="007F298B" w:rsidRPr="00F467E3" w:rsidRDefault="009D4AB1" w:rsidP="009F7EB6">
            <w:pPr>
              <w:spacing w:before="120" w:after="120" w:line="240" w:lineRule="auto"/>
              <w:rPr>
                <w:rFonts w:asciiTheme="majorHAnsi" w:hAnsiTheme="majorHAnsi"/>
                <w:lang w:val="es-ES"/>
              </w:rPr>
            </w:pPr>
            <w:r w:rsidRPr="00F467E3">
              <w:rPr>
                <w:rFonts w:asciiTheme="majorHAnsi" w:hAnsiTheme="majorHAnsi"/>
                <w:lang w:val="es-ES"/>
              </w:rPr>
              <w:t>Objetivo de evaluación 3: Síntesis y evaluación</w:t>
            </w:r>
          </w:p>
          <w:p w:rsidR="007F298B" w:rsidRPr="00F467E3" w:rsidRDefault="009D4AB1" w:rsidP="007F298B">
            <w:pPr>
              <w:pStyle w:val="Prrafodelista"/>
              <w:numPr>
                <w:ilvl w:val="0"/>
                <w:numId w:val="3"/>
              </w:numPr>
              <w:spacing w:before="120" w:after="120" w:line="240" w:lineRule="auto"/>
              <w:rPr>
                <w:rFonts w:asciiTheme="majorHAnsi" w:hAnsiTheme="majorHAnsi"/>
                <w:lang w:val="es-ES"/>
              </w:rPr>
            </w:pPr>
            <w:r w:rsidRPr="00F467E3">
              <w:rPr>
                <w:rFonts w:asciiTheme="majorHAnsi" w:hAnsiTheme="majorHAnsi"/>
                <w:lang w:val="es-ES"/>
              </w:rPr>
              <w:t xml:space="preserve">Evaluar distintos enfoques e interpretaciones de cuestiones y acontecimientos históricos </w:t>
            </w:r>
          </w:p>
          <w:p w:rsidR="008671D8" w:rsidRPr="00F467E3" w:rsidRDefault="00E96DF5" w:rsidP="00100B48">
            <w:pPr>
              <w:pStyle w:val="Prrafodelista"/>
              <w:numPr>
                <w:ilvl w:val="0"/>
                <w:numId w:val="3"/>
              </w:numPr>
              <w:spacing w:before="120" w:after="120" w:line="240" w:lineRule="auto"/>
              <w:rPr>
                <w:rFonts w:asciiTheme="majorHAnsi" w:hAnsiTheme="majorHAnsi"/>
                <w:lang w:val="es-ES"/>
              </w:rPr>
            </w:pPr>
            <w:r w:rsidRPr="00F467E3">
              <w:rPr>
                <w:rFonts w:asciiTheme="majorHAnsi" w:hAnsiTheme="majorHAnsi"/>
                <w:lang w:val="es-ES"/>
              </w:rPr>
              <w:t>Desarrollar comentarios críticos basándose en las pruebas</w:t>
            </w:r>
          </w:p>
        </w:tc>
      </w:tr>
    </w:tbl>
    <w:p w:rsidR="006D444B" w:rsidRPr="00F467E3" w:rsidRDefault="006D444B" w:rsidP="006D444B">
      <w:pPr>
        <w:spacing w:before="120" w:after="120" w:line="240" w:lineRule="auto"/>
        <w:rPr>
          <w:rFonts w:asciiTheme="majorHAnsi" w:hAnsiTheme="majorHAnsi"/>
          <w:b/>
          <w:i/>
          <w:lang w:val="es-ES"/>
        </w:rPr>
      </w:pPr>
      <w:r w:rsidRPr="00F467E3">
        <w:rPr>
          <w:rFonts w:asciiTheme="majorHAnsi" w:hAnsiTheme="majorHAnsi"/>
          <w:b/>
          <w:bCs/>
          <w:i/>
          <w:iCs/>
          <w:lang w:val="es-ES"/>
        </w:rPr>
        <w:lastRenderedPageBreak/>
        <w:t>ACCIÓN: enseñanza y aprendizaje a través de la indagación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2854"/>
        <w:gridCol w:w="1871"/>
        <w:gridCol w:w="4725"/>
      </w:tblGrid>
      <w:tr w:rsidR="006D444B" w:rsidRPr="00F467E3" w:rsidTr="00BA1D99">
        <w:tc>
          <w:tcPr>
            <w:tcW w:w="7578" w:type="dxa"/>
            <w:gridSpan w:val="2"/>
            <w:shd w:val="clear" w:color="auto" w:fill="D9D9D9"/>
          </w:tcPr>
          <w:p w:rsidR="00030B44" w:rsidRPr="00F467E3" w:rsidRDefault="006D444B" w:rsidP="001C4BC7">
            <w:pPr>
              <w:spacing w:before="120" w:after="120" w:line="240" w:lineRule="auto"/>
              <w:rPr>
                <w:rFonts w:asciiTheme="majorHAnsi" w:hAnsiTheme="majorHAnsi"/>
                <w:b/>
                <w:lang w:val="es-ES"/>
              </w:rPr>
            </w:pPr>
            <w:r w:rsidRPr="00F467E3">
              <w:rPr>
                <w:rFonts w:asciiTheme="majorHAnsi" w:hAnsiTheme="majorHAnsi"/>
                <w:b/>
                <w:bCs/>
                <w:lang w:val="es-ES"/>
              </w:rPr>
              <w:t>Contenido, habilidades y conceptos: conocimientos esenciales</w:t>
            </w:r>
          </w:p>
          <w:p w:rsidR="006D444B" w:rsidRPr="00F467E3" w:rsidRDefault="00030B44" w:rsidP="00030B44">
            <w:pPr>
              <w:tabs>
                <w:tab w:val="left" w:pos="5940"/>
              </w:tabs>
              <w:rPr>
                <w:rFonts w:asciiTheme="majorHAnsi" w:hAnsiTheme="majorHAnsi"/>
                <w:lang w:val="es-ES"/>
              </w:rPr>
            </w:pPr>
            <w:r w:rsidRPr="00F467E3">
              <w:rPr>
                <w:rFonts w:asciiTheme="majorHAnsi" w:hAnsiTheme="majorHAnsi"/>
                <w:lang w:val="es-ES"/>
              </w:rPr>
              <w:tab/>
            </w:r>
          </w:p>
        </w:tc>
        <w:tc>
          <w:tcPr>
            <w:tcW w:w="6596" w:type="dxa"/>
            <w:gridSpan w:val="2"/>
            <w:shd w:val="clear" w:color="auto" w:fill="D9D9D9"/>
          </w:tcPr>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b/>
                <w:bCs/>
                <w:lang w:val="es-ES"/>
              </w:rPr>
              <w:t>Proceso de aprendizaje</w:t>
            </w:r>
          </w:p>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i/>
                <w:iCs/>
                <w:lang w:val="es-ES"/>
              </w:rPr>
              <w:t>Marque las casillas de los enfoques pedagógicos utilizados en la unidad.</w:t>
            </w:r>
            <w:r w:rsidRPr="00F467E3">
              <w:rPr>
                <w:rFonts w:asciiTheme="majorHAnsi" w:hAnsiTheme="majorHAnsi"/>
                <w:lang w:val="es-ES"/>
              </w:rPr>
              <w:t xml:space="preserve"> </w:t>
            </w:r>
            <w:r w:rsidRPr="00F467E3">
              <w:rPr>
                <w:rFonts w:asciiTheme="majorHAnsi" w:hAnsiTheme="majorHAnsi"/>
                <w:i/>
                <w:iCs/>
                <w:lang w:val="es-ES"/>
              </w:rPr>
              <w:t>Procure usar una variedad de enfoques para facilitar el aprendizaje.</w:t>
            </w:r>
          </w:p>
        </w:tc>
      </w:tr>
      <w:tr w:rsidR="006D444B" w:rsidRPr="00F467E3" w:rsidTr="00BA1D99">
        <w:trPr>
          <w:trHeight w:val="939"/>
        </w:trPr>
        <w:tc>
          <w:tcPr>
            <w:tcW w:w="7578" w:type="dxa"/>
            <w:gridSpan w:val="2"/>
            <w:vMerge w:val="restart"/>
            <w:shd w:val="clear" w:color="auto" w:fill="auto"/>
          </w:tcPr>
          <w:p w:rsidR="003A1372" w:rsidRPr="00F467E3" w:rsidRDefault="006D444B" w:rsidP="003A1372">
            <w:pPr>
              <w:spacing w:before="120" w:after="120" w:line="240" w:lineRule="auto"/>
              <w:rPr>
                <w:rFonts w:asciiTheme="majorHAnsi" w:hAnsiTheme="majorHAnsi"/>
                <w:u w:val="single"/>
                <w:lang w:val="es-ES"/>
              </w:rPr>
            </w:pPr>
            <w:r w:rsidRPr="00F467E3">
              <w:rPr>
                <w:rFonts w:asciiTheme="majorHAnsi" w:hAnsiTheme="majorHAnsi"/>
                <w:lang w:val="es-ES"/>
              </w:rPr>
              <w:t>Los alumnos conocerán el siguiente contenido:</w:t>
            </w:r>
          </w:p>
          <w:p w:rsidR="00A6358E" w:rsidRPr="00F467E3" w:rsidRDefault="00BA1D99" w:rsidP="00A6358E">
            <w:pPr>
              <w:spacing w:before="120" w:after="120" w:line="240" w:lineRule="auto"/>
              <w:contextualSpacing/>
              <w:rPr>
                <w:rFonts w:asciiTheme="majorHAnsi" w:hAnsiTheme="majorHAnsi"/>
                <w:b/>
                <w:bCs/>
                <w:lang w:val="es-ES"/>
              </w:rPr>
            </w:pPr>
            <w:r w:rsidRPr="00F467E3">
              <w:rPr>
                <w:rFonts w:asciiTheme="majorHAnsi" w:hAnsiTheme="majorHAnsi"/>
                <w:b/>
                <w:bCs/>
                <w:lang w:val="es-ES"/>
              </w:rPr>
              <w:t>Causas de la Primera Guerra Mundial</w:t>
            </w:r>
          </w:p>
          <w:p w:rsidR="00A6358E"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explicar que las causas a largo plazo de la Primera Guerra Mundial fueron el militarismo, las alianzas, el imperialismo, la industrialización y el nacionalismo.</w:t>
            </w:r>
          </w:p>
          <w:p w:rsidR="00A6358E" w:rsidRPr="00F467E3" w:rsidRDefault="00A6358E"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explicar que las causas a corto plazo de la Primera Guerra Mundial fueron la crisis de Bosnia de 1908, la crisis de Agadir de 1911, y la primera y la segunda guerras de los Balcanes de 1912 y 1913.</w:t>
            </w:r>
          </w:p>
          <w:p w:rsidR="003A1372" w:rsidRPr="00F467E3" w:rsidRDefault="00A6358E"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explicar que las causas inmediatas de la Primera Guerra Mundial fueron la crisis de julio de 1914 y el asesinato del archiduque Francisco Fernando.</w:t>
            </w:r>
          </w:p>
          <w:p w:rsidR="00A6358E" w:rsidRPr="00F467E3" w:rsidRDefault="00116C3C" w:rsidP="00452DBA">
            <w:pPr>
              <w:spacing w:before="120" w:after="120" w:line="240" w:lineRule="auto"/>
              <w:rPr>
                <w:rFonts w:asciiTheme="majorHAnsi" w:hAnsiTheme="majorHAnsi"/>
                <w:b/>
                <w:bCs/>
                <w:lang w:val="es-ES"/>
              </w:rPr>
            </w:pPr>
            <w:r w:rsidRPr="00F467E3">
              <w:rPr>
                <w:rFonts w:asciiTheme="majorHAnsi" w:hAnsiTheme="majorHAnsi"/>
                <w:b/>
                <w:bCs/>
                <w:lang w:val="es-ES"/>
              </w:rPr>
              <w:t>Características/prácticas de la Primera Guerra Mundial</w:t>
            </w:r>
          </w:p>
          <w:p w:rsidR="00FF6367"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debatir los avances tecnológicos utilizados durante la Primera Guerra Mundial, como, por ejemplo, los tanques, los submarinos alemanes, los gases venenosos y las ametralladoras; así como las tácticas y estrategias en tierra y mar, entre ellas, la guerra de trincheras, los bombardeos aéreos, los blancos civiles e industriales, la guerra submarina sin restricciones, los bloqueos y la guerra de frentes múltiples.</w:t>
            </w:r>
          </w:p>
          <w:p w:rsidR="00394715"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 xml:space="preserve">Los alumnos serán capaces de demostrar que comprenden los efectos sobre la población civil durante la Primera Guerra Mundial: el impacto económico y social (incluido el cambio en el rol de las mujeres), las minorías </w:t>
            </w:r>
            <w:r w:rsidRPr="00F467E3">
              <w:rPr>
                <w:rFonts w:asciiTheme="majorHAnsi" w:hAnsiTheme="majorHAnsi"/>
                <w:lang w:val="es-ES"/>
              </w:rPr>
              <w:lastRenderedPageBreak/>
              <w:t>en el frente y como mano de obra, la escasez de alimentos, el racionamiento, la propaganda, el control gubernamental de la producción y la vida cotidiana.</w:t>
            </w:r>
          </w:p>
          <w:p w:rsidR="00116C3C"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examinar los movimientos de la resistencia y revolucionarios, incluidas la organización serbia Mano Negra, la resistencia belga, la resistencia francesa, y la alianza entre Bulgaria, Grecia y Serbia contra el Imperio Otomano.</w:t>
            </w:r>
          </w:p>
          <w:p w:rsidR="00394715" w:rsidRPr="00F467E3" w:rsidRDefault="00116C3C" w:rsidP="00452DBA">
            <w:pPr>
              <w:spacing w:before="120" w:after="120" w:line="240" w:lineRule="auto"/>
              <w:rPr>
                <w:rFonts w:asciiTheme="majorHAnsi" w:hAnsiTheme="majorHAnsi"/>
                <w:b/>
                <w:bCs/>
              </w:rPr>
            </w:pPr>
            <w:r w:rsidRPr="00F467E3">
              <w:rPr>
                <w:rFonts w:asciiTheme="majorHAnsi" w:hAnsiTheme="majorHAnsi"/>
                <w:b/>
                <w:bCs/>
              </w:rPr>
              <w:t>Efectos</w:t>
            </w:r>
          </w:p>
          <w:p w:rsidR="009F7EB6"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evaluar los acuerdos de paz firmados al final de la guerra, incluidas las conferencias de paz de París (1919-1923) que resultaron en los tratados de Versalles, Saint-Germain, Trianon, Neuilly, Sèvres y Lausana.</w:t>
            </w:r>
          </w:p>
          <w:p w:rsidR="009F7EB6"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evaluar los intentos por lograr la seguridad colectiva, incluida la Sociedad de Naciones, sobre la base de los 14 puntos propuestos por Woodrow Wilson.</w:t>
            </w:r>
          </w:p>
          <w:p w:rsidR="003A1372"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explicar las repercusiones políticas y los cambios territoriales, incluidos el artículo 231 sobre la responsabilidad de Alemania, las indemnizaciones de guerra, Alsacia-Lorena, Sarre, Renania y el corredor polaco.</w:t>
            </w:r>
          </w:p>
          <w:p w:rsidR="006D444B"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Los alumnos serán capaces de identificar los problemas económicos posteriores a la guerra, incluidos la inflación, la Depresión y el colapso de la República de Weimar.</w:t>
            </w:r>
          </w:p>
          <w:p w:rsidR="003A1372" w:rsidRPr="00F467E3" w:rsidRDefault="007F590A" w:rsidP="007B5E56">
            <w:pPr>
              <w:spacing w:before="120" w:after="120" w:line="240" w:lineRule="auto"/>
              <w:rPr>
                <w:rFonts w:asciiTheme="majorHAnsi" w:hAnsiTheme="majorHAnsi"/>
                <w:u w:val="single"/>
                <w:lang w:val="es-ES"/>
              </w:rPr>
            </w:pPr>
            <w:r w:rsidRPr="00F467E3">
              <w:rPr>
                <w:rFonts w:asciiTheme="majorHAnsi" w:hAnsiTheme="majorHAnsi"/>
                <w:lang w:val="es-ES"/>
              </w:rPr>
              <w:t>Los alumnos desarrollarán las siguientes habilidades:</w:t>
            </w:r>
          </w:p>
          <w:p w:rsidR="003A1372"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Serán capaces de recordar y seleccionar conocimientos históricos pertinentes.</w:t>
            </w:r>
          </w:p>
          <w:p w:rsidR="007F590A" w:rsidRPr="00F467E3" w:rsidRDefault="003A1372"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Serán capaces de demostrar que comprenden el contexto histórico.</w:t>
            </w:r>
          </w:p>
          <w:p w:rsidR="007F590A" w:rsidRPr="00F467E3" w:rsidRDefault="003304DA"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Serán capaces de identificar causas y efectos, y continuidad y cambio.</w:t>
            </w:r>
          </w:p>
          <w:p w:rsidR="006D444B" w:rsidRPr="00F467E3" w:rsidRDefault="003304DA"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Serán capaces de demostrar que pueden estructurar una respuesta larga.</w:t>
            </w:r>
          </w:p>
          <w:p w:rsidR="006D444B" w:rsidRPr="00F467E3" w:rsidRDefault="006D444B" w:rsidP="007B5E56">
            <w:pPr>
              <w:spacing w:before="120" w:after="120" w:line="240" w:lineRule="auto"/>
              <w:rPr>
                <w:rFonts w:asciiTheme="majorHAnsi" w:hAnsiTheme="majorHAnsi"/>
                <w:u w:val="single"/>
                <w:lang w:val="es-ES"/>
              </w:rPr>
            </w:pPr>
            <w:r w:rsidRPr="00F467E3">
              <w:rPr>
                <w:rFonts w:asciiTheme="majorHAnsi" w:hAnsiTheme="majorHAnsi"/>
                <w:lang w:val="es-ES"/>
              </w:rPr>
              <w:t>Los alumnos comprenderán los siguientes conceptos:</w:t>
            </w:r>
          </w:p>
          <w:p w:rsidR="006D444B" w:rsidRPr="00F467E3" w:rsidRDefault="000E194D"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 xml:space="preserve">El pasado incide en el presente y el futuro; la comprensión de las causas de </w:t>
            </w:r>
            <w:r w:rsidRPr="00F467E3">
              <w:rPr>
                <w:rFonts w:asciiTheme="majorHAnsi" w:hAnsiTheme="majorHAnsi"/>
                <w:lang w:val="es-ES"/>
              </w:rPr>
              <w:lastRenderedPageBreak/>
              <w:t>la Primera Guerra Mundial puede contribuir a evitar un conflicto mundial en el futuro.</w:t>
            </w:r>
          </w:p>
          <w:p w:rsidR="000E194D" w:rsidRPr="00F467E3" w:rsidRDefault="000E194D"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Cada acontecimiento admite distintos puntos de vista; no obstante, algunas perspectivas tienen una mayor justificación o pruebas que las hacen más válidas o verdaderas.</w:t>
            </w:r>
          </w:p>
          <w:p w:rsidR="000E194D" w:rsidRPr="00F467E3" w:rsidRDefault="00116C3C" w:rsidP="001C4BC7">
            <w:pPr>
              <w:pStyle w:val="Prrafodelista"/>
              <w:numPr>
                <w:ilvl w:val="3"/>
                <w:numId w:val="10"/>
              </w:numPr>
              <w:spacing w:before="120" w:after="120" w:line="240" w:lineRule="auto"/>
              <w:rPr>
                <w:rFonts w:asciiTheme="majorHAnsi" w:hAnsiTheme="majorHAnsi"/>
                <w:lang w:val="es-ES"/>
              </w:rPr>
            </w:pPr>
            <w:r w:rsidRPr="00F467E3">
              <w:rPr>
                <w:rFonts w:asciiTheme="majorHAnsi" w:hAnsiTheme="majorHAnsi"/>
                <w:lang w:val="es-ES"/>
              </w:rPr>
              <w:t>El estudio de la Primera Guerra Mundial, y de la historia en general, contribuye al desarrollo del sentido de identidad, al pensamiento crítico aplicado a la propaganda y al enriquecimiento de nuestra comprensión de la naturaleza humana (</w:t>
            </w:r>
            <w:r w:rsidRPr="00F467E3">
              <w:rPr>
                <w:rFonts w:asciiTheme="majorHAnsi" w:hAnsiTheme="majorHAnsi"/>
                <w:i/>
                <w:iCs/>
                <w:lang w:val="es-ES"/>
              </w:rPr>
              <w:t>Theory of Knowledge for the IB Diploma</w:t>
            </w:r>
            <w:r w:rsidRPr="00F467E3">
              <w:rPr>
                <w:rFonts w:asciiTheme="majorHAnsi" w:hAnsiTheme="majorHAnsi"/>
                <w:lang w:val="es-ES"/>
              </w:rPr>
              <w:t>, 2011, Richard van de Lagemaat).</w:t>
            </w:r>
          </w:p>
          <w:p w:rsidR="006D444B" w:rsidRPr="00F467E3" w:rsidRDefault="001C4BC7" w:rsidP="001C4BC7">
            <w:pPr>
              <w:spacing w:before="120" w:after="120" w:line="240" w:lineRule="auto"/>
              <w:rPr>
                <w:rFonts w:asciiTheme="majorHAnsi" w:hAnsiTheme="majorHAnsi"/>
                <w:lang w:val="es-ES"/>
              </w:rPr>
            </w:pPr>
            <w:r w:rsidRPr="00F467E3">
              <w:rPr>
                <w:rFonts w:asciiTheme="majorHAnsi" w:hAnsiTheme="majorHAnsi"/>
                <w:lang w:val="es-ES"/>
              </w:rPr>
              <w:br/>
            </w:r>
            <w:r w:rsidRPr="00F467E3">
              <w:rPr>
                <w:rFonts w:asciiTheme="majorHAnsi" w:hAnsiTheme="majorHAnsi"/>
                <w:lang w:val="es-ES"/>
              </w:rPr>
              <w:br/>
            </w:r>
            <w:r w:rsidRPr="00F467E3">
              <w:rPr>
                <w:rFonts w:asciiTheme="majorHAnsi" w:hAnsiTheme="majorHAnsi"/>
                <w:lang w:val="es-ES"/>
              </w:rPr>
              <w:br/>
            </w:r>
          </w:p>
        </w:tc>
        <w:tc>
          <w:tcPr>
            <w:tcW w:w="6596" w:type="dxa"/>
            <w:gridSpan w:val="2"/>
            <w:shd w:val="clear" w:color="auto" w:fill="auto"/>
          </w:tcPr>
          <w:p w:rsidR="006D444B" w:rsidRPr="00F467E3" w:rsidRDefault="006D444B" w:rsidP="001C4BC7">
            <w:pPr>
              <w:spacing w:before="120" w:after="120" w:line="240" w:lineRule="auto"/>
              <w:rPr>
                <w:rStyle w:val="Textoennegrita"/>
                <w:rFonts w:asciiTheme="majorHAnsi" w:hAnsiTheme="majorHAnsi"/>
                <w:b w:val="0"/>
                <w:lang w:val="es-ES"/>
              </w:rPr>
            </w:pPr>
            <w:r w:rsidRPr="00F467E3">
              <w:rPr>
                <w:rStyle w:val="Textoennegrita"/>
                <w:rFonts w:asciiTheme="majorHAnsi" w:hAnsiTheme="majorHAnsi"/>
                <w:b w:val="0"/>
                <w:lang w:val="es-ES"/>
              </w:rPr>
              <w:lastRenderedPageBreak/>
              <w:t>Experiencias y estrategias de aprendizaje, o planificación para el aprendizaje independiente:</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17"/>
                  <w:enabled/>
                  <w:calcOnExit w:val="0"/>
                  <w:checkBox>
                    <w:sizeAuto/>
                    <w:default w:val="1"/>
                  </w:checkBox>
                </w:ffData>
              </w:fldChar>
            </w:r>
            <w:bookmarkStart w:id="1" w:name="Check17"/>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1"/>
            <w:r w:rsidR="00973EF2" w:rsidRPr="00F467E3">
              <w:rPr>
                <w:rFonts w:asciiTheme="majorHAnsi" w:hAnsiTheme="majorHAnsi"/>
                <w:lang w:val="es-ES"/>
              </w:rPr>
              <w:t>Charla o clase convencional</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18"/>
                  <w:enabled/>
                  <w:calcOnExit w:val="0"/>
                  <w:checkBox>
                    <w:sizeAuto/>
                    <w:default w:val="1"/>
                  </w:checkBox>
                </w:ffData>
              </w:fldChar>
            </w:r>
            <w:bookmarkStart w:id="2" w:name="Check18"/>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2"/>
            <w:r w:rsidR="00973EF2" w:rsidRPr="00F467E3">
              <w:rPr>
                <w:rFonts w:asciiTheme="majorHAnsi" w:hAnsiTheme="majorHAnsi"/>
                <w:lang w:val="es-ES"/>
              </w:rPr>
              <w:t>Seminario socrático</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19"/>
                  <w:enabled/>
                  <w:calcOnExit w:val="0"/>
                  <w:checkBox>
                    <w:sizeAuto/>
                    <w:default w:val="1"/>
                  </w:checkBox>
                </w:ffData>
              </w:fldChar>
            </w:r>
            <w:bookmarkStart w:id="3" w:name="Check19"/>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3"/>
            <w:r w:rsidR="00973EF2" w:rsidRPr="00F467E3">
              <w:rPr>
                <w:rFonts w:asciiTheme="majorHAnsi" w:hAnsiTheme="majorHAnsi"/>
                <w:lang w:val="es-ES"/>
              </w:rPr>
              <w:t>Trabajo en grupos pequeños o en parejas</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20"/>
                  <w:enabled/>
                  <w:calcOnExit w:val="0"/>
                  <w:checkBox>
                    <w:sizeAuto/>
                    <w:default w:val="1"/>
                  </w:checkBox>
                </w:ffData>
              </w:fldChar>
            </w:r>
            <w:bookmarkStart w:id="4" w:name="Check20"/>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4"/>
            <w:r w:rsidR="00973EF2" w:rsidRPr="00F467E3">
              <w:rPr>
                <w:rFonts w:asciiTheme="majorHAnsi" w:hAnsiTheme="majorHAnsi"/>
                <w:lang w:val="es-ES"/>
              </w:rPr>
              <w:t>Notas o charla con presentación de PowerPoint</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21"/>
                  <w:enabled/>
                  <w:calcOnExit w:val="0"/>
                  <w:checkBox>
                    <w:sizeAuto/>
                    <w:default w:val="1"/>
                  </w:checkBox>
                </w:ffData>
              </w:fldChar>
            </w:r>
            <w:bookmarkStart w:id="5" w:name="Check21"/>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5"/>
            <w:r w:rsidR="00973EF2" w:rsidRPr="00F467E3">
              <w:rPr>
                <w:rFonts w:asciiTheme="majorHAnsi" w:hAnsiTheme="majorHAnsi"/>
                <w:lang w:val="es-ES"/>
              </w:rPr>
              <w:t>Presentaciones individuales</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22"/>
                  <w:enabled/>
                  <w:calcOnExit w:val="0"/>
                  <w:checkBox>
                    <w:sizeAuto/>
                    <w:default w:val="1"/>
                  </w:checkBox>
                </w:ffData>
              </w:fldChar>
            </w:r>
            <w:bookmarkStart w:id="6" w:name="Check22"/>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6"/>
            <w:r w:rsidR="00973EF2" w:rsidRPr="00F467E3">
              <w:rPr>
                <w:rFonts w:asciiTheme="majorHAnsi" w:hAnsiTheme="majorHAnsi"/>
                <w:lang w:val="es-ES"/>
              </w:rPr>
              <w:t>Presentaciones grupales</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23"/>
                  <w:enabled/>
                  <w:calcOnExit w:val="0"/>
                  <w:checkBox>
                    <w:sizeAuto/>
                    <w:default w:val="0"/>
                    <w:checked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Charlas o clases de alumnos o dirigidas por alumnos</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25"/>
                  <w:enabled/>
                  <w:calcOnExit w:val="0"/>
                  <w:checkBox>
                    <w:sizeAuto/>
                    <w:default w:val="1"/>
                  </w:checkBox>
                </w:ffData>
              </w:fldChar>
            </w:r>
            <w:bookmarkStart w:id="7" w:name="Check25"/>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7"/>
            <w:r w:rsidR="00973EF2" w:rsidRPr="00F467E3">
              <w:rPr>
                <w:rFonts w:asciiTheme="majorHAnsi" w:hAnsiTheme="majorHAnsi"/>
                <w:lang w:val="es-ES"/>
              </w:rPr>
              <w:t>Aprendizaje interdisciplinario</w:t>
            </w:r>
          </w:p>
          <w:p w:rsidR="006D444B" w:rsidRPr="00F467E3" w:rsidRDefault="006D444B" w:rsidP="001C4BC7">
            <w:pPr>
              <w:spacing w:before="120" w:after="120" w:line="240" w:lineRule="auto"/>
              <w:rPr>
                <w:rFonts w:asciiTheme="majorHAnsi" w:hAnsiTheme="majorHAnsi"/>
                <w:lang w:val="es-ES"/>
              </w:rPr>
            </w:pPr>
            <w:r w:rsidRPr="00F467E3">
              <w:rPr>
                <w:rFonts w:asciiTheme="majorHAnsi" w:hAnsiTheme="majorHAnsi"/>
                <w:lang w:val="es-ES"/>
              </w:rPr>
              <w:t xml:space="preserve">Información detallada: </w:t>
            </w:r>
          </w:p>
          <w:p w:rsidR="006D444B" w:rsidRPr="00F467E3" w:rsidRDefault="00276F46" w:rsidP="00F467E3">
            <w:pPr>
              <w:spacing w:before="120" w:after="120" w:line="240" w:lineRule="auto"/>
              <w:rPr>
                <w:rFonts w:asciiTheme="majorHAnsi" w:hAnsiTheme="majorHAnsi"/>
                <w:lang w:val="es-ES"/>
              </w:rPr>
            </w:pPr>
            <w:r w:rsidRPr="00F467E3">
              <w:rPr>
                <w:rFonts w:asciiTheme="majorHAnsi" w:hAnsiTheme="majorHAnsi"/>
              </w:rPr>
              <w:fldChar w:fldCharType="begin">
                <w:ffData>
                  <w:name w:val="Check24"/>
                  <w:enabled/>
                  <w:calcOnExit w:val="0"/>
                  <w:checkBox>
                    <w:sizeAuto/>
                    <w:default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Otro(s):</w:t>
            </w:r>
          </w:p>
        </w:tc>
      </w:tr>
      <w:tr w:rsidR="006D444B" w:rsidRPr="00F467E3" w:rsidTr="00BA1D99">
        <w:trPr>
          <w:trHeight w:val="1542"/>
        </w:trPr>
        <w:tc>
          <w:tcPr>
            <w:tcW w:w="7578" w:type="dxa"/>
            <w:gridSpan w:val="2"/>
            <w:vMerge/>
            <w:shd w:val="clear" w:color="auto" w:fill="auto"/>
          </w:tcPr>
          <w:p w:rsidR="006D444B" w:rsidRPr="00F467E3" w:rsidRDefault="006D444B" w:rsidP="001C4BC7">
            <w:pPr>
              <w:spacing w:before="120" w:after="120" w:line="240" w:lineRule="auto"/>
              <w:rPr>
                <w:rFonts w:asciiTheme="majorHAnsi" w:hAnsiTheme="majorHAnsi"/>
                <w:lang w:val="es-ES"/>
              </w:rPr>
            </w:pPr>
          </w:p>
        </w:tc>
        <w:tc>
          <w:tcPr>
            <w:tcW w:w="6596" w:type="dxa"/>
            <w:gridSpan w:val="2"/>
            <w:tcBorders>
              <w:bottom w:val="single" w:sz="4" w:space="0" w:color="auto"/>
            </w:tcBorders>
            <w:shd w:val="clear" w:color="auto" w:fill="auto"/>
          </w:tcPr>
          <w:p w:rsidR="006D444B" w:rsidRPr="00F467E3" w:rsidRDefault="006D444B" w:rsidP="001C4BC7">
            <w:pPr>
              <w:spacing w:before="120" w:after="120" w:line="240" w:lineRule="auto"/>
              <w:jc w:val="both"/>
              <w:rPr>
                <w:rFonts w:asciiTheme="majorHAnsi" w:hAnsiTheme="majorHAnsi"/>
                <w:b/>
                <w:lang w:val="es-ES"/>
              </w:rPr>
            </w:pPr>
            <w:r w:rsidRPr="00F467E3">
              <w:rPr>
                <w:rFonts w:asciiTheme="majorHAnsi" w:hAnsiTheme="majorHAnsi"/>
                <w:b/>
                <w:bCs/>
                <w:lang w:val="es-ES"/>
              </w:rPr>
              <w:t>Evaluación formativa:</w:t>
            </w:r>
          </w:p>
          <w:p w:rsidR="006D444B" w:rsidRPr="00F467E3" w:rsidRDefault="000E194D" w:rsidP="001C4BC7">
            <w:pPr>
              <w:spacing w:before="120" w:after="120" w:line="240" w:lineRule="auto"/>
              <w:jc w:val="both"/>
              <w:rPr>
                <w:rFonts w:asciiTheme="majorHAnsi" w:hAnsiTheme="majorHAnsi"/>
                <w:bCs/>
                <w:lang w:val="es-ES"/>
              </w:rPr>
            </w:pPr>
            <w:r w:rsidRPr="00F467E3">
              <w:rPr>
                <w:rFonts w:asciiTheme="majorHAnsi" w:hAnsiTheme="majorHAnsi"/>
                <w:lang w:val="es-ES"/>
              </w:rPr>
              <w:t>Verificación de la comprensión mediante trabajos escritos, como párrafos y ensayos</w:t>
            </w:r>
          </w:p>
          <w:p w:rsidR="000E194D" w:rsidRPr="00F467E3" w:rsidRDefault="000E194D" w:rsidP="001C4BC7">
            <w:pPr>
              <w:spacing w:before="120" w:after="120" w:line="240" w:lineRule="auto"/>
              <w:jc w:val="both"/>
              <w:rPr>
                <w:rFonts w:asciiTheme="majorHAnsi" w:hAnsiTheme="majorHAnsi"/>
                <w:bCs/>
                <w:lang w:val="es-ES"/>
              </w:rPr>
            </w:pPr>
            <w:r w:rsidRPr="00F467E3">
              <w:rPr>
                <w:rFonts w:asciiTheme="majorHAnsi" w:hAnsiTheme="majorHAnsi"/>
                <w:lang w:val="es-ES"/>
              </w:rPr>
              <w:t>Verificación de la comprensión mediante trabajos orales, como charlas, debates con toda la clase, y debates moderados por el profesor y por los alumnos</w:t>
            </w:r>
          </w:p>
          <w:p w:rsidR="000E194D" w:rsidRPr="00F467E3" w:rsidRDefault="000E194D" w:rsidP="001C4BC7">
            <w:pPr>
              <w:spacing w:before="120" w:after="120" w:line="240" w:lineRule="auto"/>
              <w:jc w:val="both"/>
              <w:rPr>
                <w:rFonts w:asciiTheme="majorHAnsi" w:hAnsiTheme="majorHAnsi"/>
                <w:bCs/>
                <w:lang w:val="es-ES"/>
              </w:rPr>
            </w:pPr>
            <w:r w:rsidRPr="00F467E3">
              <w:rPr>
                <w:rFonts w:asciiTheme="majorHAnsi" w:hAnsiTheme="majorHAnsi"/>
                <w:lang w:val="es-ES"/>
              </w:rPr>
              <w:lastRenderedPageBreak/>
              <w:t>Verificación de la comprensión mediante trabajos visuales, entre ellos mapas conceptuales, líneas de tiempo, mapas y cartelería</w:t>
            </w:r>
          </w:p>
          <w:p w:rsidR="006D444B" w:rsidRPr="00F467E3" w:rsidRDefault="006D444B" w:rsidP="001C4BC7">
            <w:pPr>
              <w:spacing w:before="120" w:after="120" w:line="240" w:lineRule="auto"/>
              <w:jc w:val="both"/>
              <w:rPr>
                <w:rFonts w:asciiTheme="majorHAnsi" w:hAnsiTheme="majorHAnsi"/>
                <w:b/>
                <w:lang w:val="es-ES"/>
              </w:rPr>
            </w:pPr>
          </w:p>
          <w:p w:rsidR="006D444B" w:rsidRPr="00F467E3" w:rsidRDefault="006D444B" w:rsidP="001C4BC7">
            <w:pPr>
              <w:spacing w:before="120" w:after="120"/>
              <w:jc w:val="both"/>
              <w:rPr>
                <w:rFonts w:asciiTheme="majorHAnsi" w:hAnsiTheme="majorHAnsi"/>
                <w:b/>
                <w:lang w:val="es-ES"/>
              </w:rPr>
            </w:pPr>
          </w:p>
        </w:tc>
      </w:tr>
      <w:tr w:rsidR="006D444B" w:rsidRPr="00F467E3" w:rsidTr="00BA1D99">
        <w:trPr>
          <w:trHeight w:val="1541"/>
        </w:trPr>
        <w:tc>
          <w:tcPr>
            <w:tcW w:w="7578" w:type="dxa"/>
            <w:gridSpan w:val="2"/>
            <w:vMerge/>
            <w:shd w:val="clear" w:color="auto" w:fill="auto"/>
          </w:tcPr>
          <w:p w:rsidR="006D444B" w:rsidRPr="00F467E3" w:rsidRDefault="006D444B" w:rsidP="001C4BC7">
            <w:pPr>
              <w:spacing w:before="120" w:after="120" w:line="240" w:lineRule="auto"/>
              <w:rPr>
                <w:rFonts w:asciiTheme="majorHAnsi" w:hAnsiTheme="majorHAnsi"/>
                <w:lang w:val="es-ES"/>
              </w:rPr>
            </w:pPr>
          </w:p>
        </w:tc>
        <w:tc>
          <w:tcPr>
            <w:tcW w:w="6596" w:type="dxa"/>
            <w:gridSpan w:val="2"/>
            <w:tcBorders>
              <w:bottom w:val="single" w:sz="4" w:space="0" w:color="auto"/>
            </w:tcBorders>
            <w:shd w:val="clear" w:color="auto" w:fill="auto"/>
          </w:tcPr>
          <w:p w:rsidR="006D444B" w:rsidRPr="00F467E3" w:rsidRDefault="006D444B" w:rsidP="001C4BC7">
            <w:pPr>
              <w:spacing w:before="120" w:after="120" w:line="240" w:lineRule="auto"/>
              <w:jc w:val="both"/>
              <w:rPr>
                <w:rFonts w:asciiTheme="majorHAnsi" w:hAnsiTheme="majorHAnsi"/>
                <w:b/>
                <w:lang w:val="es-ES"/>
              </w:rPr>
            </w:pPr>
            <w:r w:rsidRPr="00F467E3">
              <w:rPr>
                <w:rFonts w:asciiTheme="majorHAnsi" w:hAnsiTheme="majorHAnsi"/>
                <w:b/>
                <w:bCs/>
                <w:lang w:val="es-ES"/>
              </w:rPr>
              <w:t>Evaluación sumativa:</w:t>
            </w:r>
          </w:p>
          <w:p w:rsidR="006D444B" w:rsidRPr="00F467E3" w:rsidRDefault="000E194D" w:rsidP="001C4BC7">
            <w:pPr>
              <w:spacing w:before="120" w:after="120" w:line="240" w:lineRule="auto"/>
              <w:jc w:val="both"/>
              <w:rPr>
                <w:rFonts w:asciiTheme="majorHAnsi" w:hAnsiTheme="majorHAnsi"/>
                <w:bCs/>
                <w:lang w:val="es-ES"/>
              </w:rPr>
            </w:pPr>
            <w:r w:rsidRPr="00F467E3">
              <w:rPr>
                <w:rFonts w:asciiTheme="majorHAnsi" w:hAnsiTheme="majorHAnsi"/>
                <w:lang w:val="es-ES"/>
              </w:rPr>
              <w:t>Examen de práctica de la prueba 2 (cronometrado)</w:t>
            </w:r>
          </w:p>
          <w:p w:rsidR="006D444B" w:rsidRPr="00F467E3" w:rsidRDefault="006D444B" w:rsidP="001C4BC7">
            <w:pPr>
              <w:spacing w:before="120" w:after="120" w:line="240" w:lineRule="auto"/>
              <w:jc w:val="both"/>
              <w:rPr>
                <w:rFonts w:asciiTheme="majorHAnsi" w:hAnsiTheme="majorHAnsi"/>
                <w:b/>
                <w:lang w:val="es-ES"/>
              </w:rPr>
            </w:pPr>
          </w:p>
          <w:p w:rsidR="006D444B" w:rsidRPr="00F467E3" w:rsidRDefault="006D444B" w:rsidP="001C4BC7">
            <w:pPr>
              <w:spacing w:before="120" w:after="120" w:line="240" w:lineRule="auto"/>
              <w:jc w:val="both"/>
              <w:rPr>
                <w:rFonts w:asciiTheme="majorHAnsi" w:hAnsiTheme="majorHAnsi"/>
                <w:b/>
                <w:lang w:val="es-ES"/>
              </w:rPr>
            </w:pPr>
          </w:p>
          <w:p w:rsidR="006D444B" w:rsidRPr="00F467E3" w:rsidRDefault="006D444B" w:rsidP="001C4BC7">
            <w:pPr>
              <w:spacing w:before="120" w:after="120" w:line="240" w:lineRule="auto"/>
              <w:jc w:val="both"/>
              <w:rPr>
                <w:rFonts w:asciiTheme="majorHAnsi" w:hAnsiTheme="majorHAnsi"/>
                <w:b/>
                <w:lang w:val="es-ES"/>
              </w:rPr>
            </w:pPr>
          </w:p>
        </w:tc>
      </w:tr>
      <w:tr w:rsidR="006D444B" w:rsidRPr="00F467E3" w:rsidTr="00BA1D99">
        <w:trPr>
          <w:trHeight w:val="1541"/>
        </w:trPr>
        <w:tc>
          <w:tcPr>
            <w:tcW w:w="7578" w:type="dxa"/>
            <w:gridSpan w:val="2"/>
            <w:vMerge/>
            <w:tcBorders>
              <w:bottom w:val="single" w:sz="4" w:space="0" w:color="auto"/>
            </w:tcBorders>
            <w:shd w:val="clear" w:color="auto" w:fill="auto"/>
          </w:tcPr>
          <w:p w:rsidR="006D444B" w:rsidRPr="00F467E3" w:rsidRDefault="006D444B" w:rsidP="001C4BC7">
            <w:pPr>
              <w:spacing w:before="120" w:after="120" w:line="240" w:lineRule="auto"/>
              <w:rPr>
                <w:rFonts w:asciiTheme="majorHAnsi" w:hAnsiTheme="majorHAnsi"/>
                <w:lang w:val="es-ES"/>
              </w:rPr>
            </w:pPr>
          </w:p>
        </w:tc>
        <w:tc>
          <w:tcPr>
            <w:tcW w:w="6596" w:type="dxa"/>
            <w:gridSpan w:val="2"/>
            <w:tcBorders>
              <w:bottom w:val="single" w:sz="4" w:space="0" w:color="auto"/>
            </w:tcBorders>
            <w:shd w:val="clear" w:color="auto" w:fill="auto"/>
          </w:tcPr>
          <w:p w:rsidR="006D444B" w:rsidRPr="00F467E3" w:rsidRDefault="006D444B" w:rsidP="001C4BC7">
            <w:pPr>
              <w:spacing w:before="120" w:after="120" w:line="240" w:lineRule="auto"/>
              <w:jc w:val="both"/>
              <w:rPr>
                <w:rFonts w:asciiTheme="majorHAnsi" w:hAnsiTheme="majorHAnsi"/>
                <w:lang w:val="es-ES"/>
              </w:rPr>
            </w:pPr>
            <w:r w:rsidRPr="00F467E3">
              <w:rPr>
                <w:rFonts w:asciiTheme="majorHAnsi" w:hAnsiTheme="majorHAnsi"/>
                <w:lang w:val="es-ES"/>
              </w:rPr>
              <w:t>Diferenciación:</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18"/>
                  <w:enabled/>
                  <w:calcOnExit w:val="0"/>
                  <w:checkBox>
                    <w:sizeAuto/>
                    <w:default w:val="0"/>
                    <w:checked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Afirmar la identidad: desarrollar la autoestima</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19"/>
                  <w:enabled/>
                  <w:calcOnExit w:val="0"/>
                  <w:checkBox>
                    <w:sizeAuto/>
                    <w:default w:val="0"/>
                    <w:checked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Valorar los conocimientos previos</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Check20"/>
                  <w:enabled/>
                  <w:calcOnExit w:val="0"/>
                  <w:checkBox>
                    <w:sizeAuto/>
                    <w:default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Construir un andamiaje del aprendizaje</w:t>
            </w:r>
          </w:p>
          <w:p w:rsidR="006D444B" w:rsidRPr="00F467E3" w:rsidRDefault="00276F46" w:rsidP="001C4BC7">
            <w:pPr>
              <w:spacing w:before="120" w:after="120" w:line="240" w:lineRule="auto"/>
              <w:rPr>
                <w:rFonts w:asciiTheme="majorHAnsi" w:hAnsiTheme="majorHAnsi"/>
                <w:lang w:val="es-ES"/>
              </w:rPr>
            </w:pPr>
            <w:r w:rsidRPr="00F467E3">
              <w:rPr>
                <w:rFonts w:asciiTheme="majorHAnsi" w:hAnsiTheme="majorHAnsi"/>
              </w:rPr>
              <w:fldChar w:fldCharType="begin">
                <w:ffData>
                  <w:name w:val=""/>
                  <w:enabled/>
                  <w:calcOnExit w:val="0"/>
                  <w:checkBox>
                    <w:sizeAuto/>
                    <w:default w:val="1"/>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Ampliar el aprendizaje</w:t>
            </w:r>
          </w:p>
          <w:p w:rsidR="006D444B" w:rsidRPr="00F467E3" w:rsidRDefault="006D444B" w:rsidP="001C4BC7">
            <w:pPr>
              <w:spacing w:before="120" w:after="120" w:line="240" w:lineRule="auto"/>
              <w:rPr>
                <w:rFonts w:asciiTheme="majorHAnsi" w:hAnsiTheme="majorHAnsi"/>
                <w:lang w:val="es-ES"/>
              </w:rPr>
            </w:pPr>
            <w:r w:rsidRPr="00F467E3">
              <w:rPr>
                <w:rFonts w:asciiTheme="majorHAnsi" w:hAnsiTheme="majorHAnsi"/>
                <w:lang w:val="es-ES"/>
              </w:rPr>
              <w:t>Información detallada:</w:t>
            </w:r>
          </w:p>
          <w:p w:rsidR="006D444B" w:rsidRPr="00F467E3" w:rsidRDefault="006D444B" w:rsidP="001C4BC7">
            <w:pPr>
              <w:pStyle w:val="Sinespaciado"/>
              <w:rPr>
                <w:rFonts w:asciiTheme="majorHAnsi" w:hAnsiTheme="majorHAnsi" w:cs="Times New Roman"/>
                <w:b/>
                <w:lang w:val="es-ES"/>
              </w:rPr>
            </w:pPr>
          </w:p>
        </w:tc>
      </w:tr>
      <w:tr w:rsidR="006D444B" w:rsidRPr="00F467E3" w:rsidTr="001C4BC7">
        <w:trPr>
          <w:trHeight w:val="764"/>
        </w:trPr>
        <w:tc>
          <w:tcPr>
            <w:tcW w:w="14174" w:type="dxa"/>
            <w:gridSpan w:val="4"/>
            <w:shd w:val="clear" w:color="auto" w:fill="D9D9D9"/>
          </w:tcPr>
          <w:p w:rsidR="006D444B" w:rsidRPr="00F467E3" w:rsidRDefault="006D444B" w:rsidP="001C4BC7">
            <w:pPr>
              <w:tabs>
                <w:tab w:val="left" w:pos="4608"/>
              </w:tabs>
              <w:spacing w:before="120" w:after="120" w:line="240" w:lineRule="auto"/>
              <w:rPr>
                <w:rFonts w:asciiTheme="majorHAnsi" w:hAnsiTheme="majorHAnsi"/>
                <w:b/>
                <w:lang w:val="es-ES"/>
              </w:rPr>
            </w:pPr>
            <w:r w:rsidRPr="00F467E3">
              <w:rPr>
                <w:rFonts w:asciiTheme="majorHAnsi" w:hAnsiTheme="majorHAnsi"/>
                <w:b/>
                <w:bCs/>
                <w:lang w:val="es-ES"/>
              </w:rPr>
              <w:lastRenderedPageBreak/>
              <w:t>Enfoques del aprendizaje</w:t>
            </w:r>
          </w:p>
          <w:p w:rsidR="006D444B" w:rsidRPr="00F467E3" w:rsidRDefault="006D444B" w:rsidP="00F467E3">
            <w:pPr>
              <w:tabs>
                <w:tab w:val="left" w:pos="4608"/>
              </w:tabs>
              <w:spacing w:before="120" w:after="120" w:line="240" w:lineRule="auto"/>
              <w:rPr>
                <w:rFonts w:asciiTheme="majorHAnsi" w:hAnsiTheme="majorHAnsi"/>
                <w:b/>
                <w:lang w:val="es-ES"/>
              </w:rPr>
            </w:pPr>
            <w:r w:rsidRPr="00F467E3">
              <w:rPr>
                <w:rFonts w:asciiTheme="majorHAnsi" w:hAnsiTheme="majorHAnsi"/>
                <w:i/>
                <w:iCs/>
                <w:lang w:val="es-ES"/>
              </w:rPr>
              <w:t>Marque las casillas de las conexiones explícitas con los enfoques del aprendizaje establecidas en la unidad.</w:t>
            </w:r>
            <w:r w:rsidRPr="00F467E3">
              <w:rPr>
                <w:rFonts w:asciiTheme="majorHAnsi" w:hAnsiTheme="majorHAnsi"/>
                <w:lang w:val="es-ES"/>
              </w:rPr>
              <w:t xml:space="preserve"> </w:t>
            </w:r>
            <w:r w:rsidRPr="00F467E3">
              <w:rPr>
                <w:rFonts w:asciiTheme="majorHAnsi" w:hAnsiTheme="majorHAnsi"/>
                <w:i/>
                <w:iCs/>
                <w:lang w:val="es-ES"/>
              </w:rPr>
              <w:t xml:space="preserve">Para obtener más información sobre los enfoques del aprendizaje, consulte </w:t>
            </w:r>
            <w:r w:rsidR="00F467E3" w:rsidRPr="00D9605E">
              <w:rPr>
                <w:bCs/>
                <w:i/>
                <w:lang w:val="es-ES"/>
              </w:rPr>
              <w:t xml:space="preserve">la </w:t>
            </w:r>
            <w:hyperlink r:id="rId8" w:history="1">
              <w:r w:rsidR="00F467E3" w:rsidRPr="00D9605E">
                <w:rPr>
                  <w:rStyle w:val="Hipervnculo"/>
                  <w:bCs/>
                  <w:i/>
                  <w:lang w:val="es-ES"/>
                </w:rPr>
                <w:t>guía</w:t>
              </w:r>
            </w:hyperlink>
            <w:r w:rsidR="00F467E3" w:rsidRPr="00D9605E">
              <w:rPr>
                <w:bCs/>
                <w:i/>
                <w:lang w:val="es-ES"/>
              </w:rPr>
              <w:t>.</w:t>
            </w:r>
          </w:p>
        </w:tc>
      </w:tr>
      <w:tr w:rsidR="006D444B" w:rsidRPr="00F467E3" w:rsidTr="001C4BC7">
        <w:trPr>
          <w:trHeight w:val="1052"/>
        </w:trPr>
        <w:tc>
          <w:tcPr>
            <w:tcW w:w="14174" w:type="dxa"/>
            <w:gridSpan w:val="4"/>
            <w:shd w:val="clear" w:color="auto" w:fill="auto"/>
          </w:tcPr>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
                  <w:enabled/>
                  <w:calcOnExit w:val="0"/>
                  <w:checkBox>
                    <w:sizeAuto/>
                    <w:default w:val="1"/>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Habilidades de pensamiento</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1"/>
                  <w:enabled/>
                  <w:calcOnExit w:val="0"/>
                  <w:checkBox>
                    <w:sizeAuto/>
                    <w:default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Habilidades sociales</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
                  <w:enabled/>
                  <w:calcOnExit w:val="0"/>
                  <w:checkBox>
                    <w:sizeAuto/>
                    <w:default w:val="1"/>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Habilidades de comunicación</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1"/>
                  <w:enabled/>
                  <w:calcOnExit w:val="0"/>
                  <w:checkBox>
                    <w:sizeAuto/>
                    <w:default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Habilidades de autogestión</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
                  <w:enabled/>
                  <w:calcOnExit w:val="0"/>
                  <w:checkBox>
                    <w:sizeAuto/>
                    <w:default w:val="1"/>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Habilidades de investigación</w:t>
            </w:r>
          </w:p>
          <w:p w:rsidR="006D444B" w:rsidRPr="00F467E3" w:rsidRDefault="006D444B" w:rsidP="001C4BC7">
            <w:pPr>
              <w:tabs>
                <w:tab w:val="left" w:pos="4608"/>
              </w:tabs>
              <w:spacing w:before="120" w:after="120" w:line="240" w:lineRule="auto"/>
              <w:rPr>
                <w:rFonts w:asciiTheme="majorHAnsi" w:hAnsiTheme="majorHAnsi"/>
                <w:b/>
              </w:rPr>
            </w:pPr>
            <w:r w:rsidRPr="00F467E3">
              <w:rPr>
                <w:rFonts w:asciiTheme="majorHAnsi" w:hAnsiTheme="majorHAnsi"/>
              </w:rPr>
              <w:t xml:space="preserve">Información detallada: </w:t>
            </w:r>
            <w:r w:rsidRPr="00F467E3">
              <w:rPr>
                <w:rFonts w:asciiTheme="majorHAnsi" w:hAnsiTheme="majorHAnsi"/>
              </w:rPr>
              <w:br/>
            </w:r>
            <w:r w:rsidRPr="00F467E3">
              <w:rPr>
                <w:rFonts w:asciiTheme="majorHAnsi" w:hAnsiTheme="majorHAnsi"/>
              </w:rPr>
              <w:br/>
            </w:r>
            <w:r w:rsidRPr="00F467E3">
              <w:rPr>
                <w:rFonts w:asciiTheme="majorHAnsi" w:hAnsiTheme="majorHAnsi"/>
              </w:rPr>
              <w:br/>
            </w:r>
          </w:p>
        </w:tc>
      </w:tr>
      <w:tr w:rsidR="006D444B" w:rsidRPr="00F467E3" w:rsidTr="001C4BC7">
        <w:trPr>
          <w:trHeight w:val="521"/>
        </w:trPr>
        <w:tc>
          <w:tcPr>
            <w:tcW w:w="4724" w:type="dxa"/>
            <w:shd w:val="clear" w:color="auto" w:fill="D9D9D9" w:themeFill="background1" w:themeFillShade="D9"/>
          </w:tcPr>
          <w:p w:rsidR="006D444B" w:rsidRPr="00F467E3" w:rsidRDefault="006D444B" w:rsidP="001C4BC7">
            <w:pPr>
              <w:tabs>
                <w:tab w:val="left" w:pos="4608"/>
              </w:tabs>
              <w:spacing w:before="120" w:after="120" w:line="240" w:lineRule="auto"/>
              <w:rPr>
                <w:rFonts w:asciiTheme="majorHAnsi" w:hAnsiTheme="majorHAnsi"/>
                <w:b/>
                <w:lang w:val="es-ES"/>
              </w:rPr>
            </w:pPr>
            <w:r w:rsidRPr="00F467E3">
              <w:rPr>
                <w:rFonts w:asciiTheme="majorHAnsi" w:hAnsiTheme="majorHAnsi"/>
                <w:b/>
                <w:bCs/>
                <w:lang w:val="es-ES"/>
              </w:rPr>
              <w:lastRenderedPageBreak/>
              <w:t>Lengua y aprendizaje</w:t>
            </w:r>
          </w:p>
          <w:p w:rsidR="006D444B" w:rsidRPr="00F467E3" w:rsidRDefault="006D444B" w:rsidP="00F467E3">
            <w:pPr>
              <w:tabs>
                <w:tab w:val="left" w:pos="4608"/>
              </w:tabs>
              <w:spacing w:before="120" w:after="120" w:line="240" w:lineRule="auto"/>
              <w:rPr>
                <w:rFonts w:asciiTheme="majorHAnsi" w:hAnsiTheme="majorHAnsi"/>
                <w:b/>
                <w:lang w:val="es-ES"/>
              </w:rPr>
            </w:pPr>
            <w:r w:rsidRPr="00F467E3">
              <w:rPr>
                <w:rFonts w:asciiTheme="majorHAnsi" w:hAnsiTheme="majorHAnsi"/>
                <w:i/>
                <w:iCs/>
                <w:lang w:val="es-ES"/>
              </w:rPr>
              <w:t>Marque las casillas de las conexiones explícitas con lengua y aprendizaje establecidas en la unidad.</w:t>
            </w:r>
            <w:r w:rsidRPr="00F467E3">
              <w:rPr>
                <w:rFonts w:asciiTheme="majorHAnsi" w:hAnsiTheme="majorHAnsi"/>
                <w:lang w:val="es-ES"/>
              </w:rPr>
              <w:t xml:space="preserve"> </w:t>
            </w:r>
            <w:r w:rsidRPr="00F467E3">
              <w:rPr>
                <w:rFonts w:asciiTheme="majorHAnsi" w:hAnsiTheme="majorHAnsi"/>
                <w:i/>
                <w:iCs/>
                <w:lang w:val="es-ES"/>
              </w:rPr>
              <w:t>Para obtener más información sobre el enfoque del IB en cuanto a lengua y aprendizaje, consulte</w:t>
            </w:r>
            <w:r w:rsidR="00F467E3" w:rsidRPr="00D9605E">
              <w:rPr>
                <w:bCs/>
                <w:i/>
                <w:lang w:val="es-ES"/>
              </w:rPr>
              <w:t xml:space="preserve"> la </w:t>
            </w:r>
            <w:hyperlink r:id="rId9" w:history="1">
              <w:r w:rsidR="00F467E3" w:rsidRPr="00D9605E">
                <w:rPr>
                  <w:rStyle w:val="Hipervnculo"/>
                  <w:bCs/>
                  <w:i/>
                  <w:lang w:val="es-ES"/>
                </w:rPr>
                <w:t>guía</w:t>
              </w:r>
            </w:hyperlink>
            <w:r w:rsidR="00F467E3" w:rsidRPr="00D9605E">
              <w:rPr>
                <w:bCs/>
                <w:i/>
                <w:lang w:val="es-ES"/>
              </w:rPr>
              <w:t>.</w:t>
            </w:r>
            <w:r w:rsidRPr="00F467E3">
              <w:rPr>
                <w:rFonts w:asciiTheme="majorHAnsi" w:hAnsiTheme="majorHAnsi"/>
                <w:lang w:val="es-ES"/>
              </w:rPr>
              <w:tab/>
            </w:r>
          </w:p>
        </w:tc>
        <w:tc>
          <w:tcPr>
            <w:tcW w:w="4725" w:type="dxa"/>
            <w:gridSpan w:val="2"/>
            <w:shd w:val="clear" w:color="auto" w:fill="D9D9D9" w:themeFill="background1" w:themeFillShade="D9"/>
          </w:tcPr>
          <w:p w:rsidR="006D444B" w:rsidRPr="00F467E3" w:rsidRDefault="006D444B" w:rsidP="001C4BC7">
            <w:pPr>
              <w:tabs>
                <w:tab w:val="left" w:pos="4608"/>
              </w:tabs>
              <w:spacing w:before="120" w:after="120" w:line="240" w:lineRule="auto"/>
              <w:rPr>
                <w:rFonts w:asciiTheme="majorHAnsi" w:hAnsiTheme="majorHAnsi"/>
                <w:b/>
                <w:lang w:val="es-ES"/>
              </w:rPr>
            </w:pPr>
            <w:r w:rsidRPr="00F467E3">
              <w:rPr>
                <w:rFonts w:asciiTheme="majorHAnsi" w:hAnsiTheme="majorHAnsi"/>
                <w:b/>
                <w:bCs/>
                <w:lang w:val="es-ES"/>
              </w:rPr>
              <w:t>Conexiones con TdC</w:t>
            </w:r>
          </w:p>
          <w:p w:rsidR="006D444B" w:rsidRPr="00F467E3" w:rsidRDefault="006D444B" w:rsidP="001C4BC7">
            <w:pPr>
              <w:tabs>
                <w:tab w:val="left" w:pos="4608"/>
              </w:tabs>
              <w:spacing w:before="120" w:after="120" w:line="240" w:lineRule="auto"/>
              <w:rPr>
                <w:rFonts w:asciiTheme="majorHAnsi" w:hAnsiTheme="majorHAnsi"/>
                <w:b/>
                <w:lang w:val="es-ES"/>
              </w:rPr>
            </w:pPr>
            <w:r w:rsidRPr="00F467E3">
              <w:rPr>
                <w:rFonts w:asciiTheme="majorHAnsi" w:hAnsiTheme="majorHAnsi"/>
                <w:i/>
                <w:iCs/>
                <w:lang w:val="es-ES"/>
              </w:rPr>
              <w:t>Marque las casillas de las conexiones explícitas con TdC establecidas en la unidad.</w:t>
            </w:r>
          </w:p>
        </w:tc>
        <w:tc>
          <w:tcPr>
            <w:tcW w:w="4725" w:type="dxa"/>
            <w:shd w:val="clear" w:color="auto" w:fill="D9D9D9" w:themeFill="background1" w:themeFillShade="D9"/>
          </w:tcPr>
          <w:p w:rsidR="006D444B" w:rsidRPr="00F467E3" w:rsidRDefault="006D444B" w:rsidP="001C4BC7">
            <w:pPr>
              <w:tabs>
                <w:tab w:val="left" w:pos="4608"/>
              </w:tabs>
              <w:spacing w:before="120" w:after="120" w:line="240" w:lineRule="auto"/>
              <w:rPr>
                <w:rFonts w:asciiTheme="majorHAnsi" w:hAnsiTheme="majorHAnsi"/>
                <w:b/>
                <w:lang w:val="es-ES"/>
              </w:rPr>
            </w:pPr>
            <w:r w:rsidRPr="00F467E3">
              <w:rPr>
                <w:rFonts w:asciiTheme="majorHAnsi" w:hAnsiTheme="majorHAnsi"/>
                <w:b/>
                <w:bCs/>
                <w:lang w:val="es-ES"/>
              </w:rPr>
              <w:t>Conexiones con CAS</w:t>
            </w:r>
          </w:p>
          <w:p w:rsidR="006D444B" w:rsidRPr="00F467E3" w:rsidRDefault="006D444B" w:rsidP="001C4BC7">
            <w:pPr>
              <w:tabs>
                <w:tab w:val="left" w:pos="4608"/>
              </w:tabs>
              <w:spacing w:before="120" w:after="120" w:line="240" w:lineRule="auto"/>
              <w:rPr>
                <w:rFonts w:asciiTheme="majorHAnsi" w:hAnsiTheme="majorHAnsi"/>
                <w:i/>
                <w:lang w:val="es-ES"/>
              </w:rPr>
            </w:pPr>
            <w:r w:rsidRPr="00F467E3">
              <w:rPr>
                <w:rFonts w:asciiTheme="majorHAnsi" w:hAnsiTheme="majorHAnsi"/>
                <w:i/>
                <w:iCs/>
                <w:lang w:val="es-ES"/>
              </w:rPr>
              <w:t>Marque las casillas de las conexiones explícitas con CAS.</w:t>
            </w:r>
            <w:r w:rsidRPr="00F467E3">
              <w:rPr>
                <w:rFonts w:asciiTheme="majorHAnsi" w:hAnsiTheme="majorHAnsi"/>
                <w:lang w:val="es-ES"/>
              </w:rPr>
              <w:t xml:space="preserve"> </w:t>
            </w:r>
            <w:r w:rsidRPr="00F467E3">
              <w:rPr>
                <w:rFonts w:asciiTheme="majorHAnsi" w:hAnsiTheme="majorHAnsi"/>
                <w:i/>
                <w:iCs/>
                <w:lang w:val="es-ES"/>
              </w:rPr>
              <w:t>Si marca alguna de las casillas, incluya una breve nota en la sección “Información detallada” explicando cómo se trabajó CAS en esta unidad.</w:t>
            </w:r>
          </w:p>
        </w:tc>
      </w:tr>
      <w:tr w:rsidR="006D444B" w:rsidRPr="00F467E3" w:rsidTr="001C4BC7">
        <w:trPr>
          <w:trHeight w:val="520"/>
        </w:trPr>
        <w:tc>
          <w:tcPr>
            <w:tcW w:w="4724" w:type="dxa"/>
            <w:tcBorders>
              <w:bottom w:val="single" w:sz="4" w:space="0" w:color="auto"/>
            </w:tcBorders>
            <w:shd w:val="clear" w:color="auto" w:fill="auto"/>
          </w:tcPr>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7"/>
                  <w:enabled/>
                  <w:calcOnExit w:val="0"/>
                  <w:checkBox>
                    <w:sizeAuto/>
                    <w:default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Activación de los conocimientos previos</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1"/>
                  <w:enabled/>
                  <w:calcOnExit w:val="0"/>
                  <w:checkBox>
                    <w:sizeAuto/>
                    <w:default w:val="0"/>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Construcción de un andamiaje para el aprendizaje</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
                  <w:enabled/>
                  <w:calcOnExit w:val="0"/>
                  <w:checkBox>
                    <w:sizeAuto/>
                    <w:default w:val="1"/>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Adquisición de nuevos conocimientos mediante la práctica</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
                  <w:enabled/>
                  <w:calcOnExit w:val="0"/>
                  <w:checkBox>
                    <w:sizeAuto/>
                    <w:default w:val="1"/>
                  </w:checkBox>
                </w:ffData>
              </w:fldChar>
            </w:r>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r w:rsidR="00973EF2" w:rsidRPr="00F467E3">
              <w:rPr>
                <w:rFonts w:asciiTheme="majorHAnsi" w:hAnsiTheme="majorHAnsi"/>
                <w:lang w:val="es-ES"/>
              </w:rPr>
              <w:t>Demostración de competencia</w:t>
            </w:r>
          </w:p>
          <w:p w:rsidR="006D444B" w:rsidRPr="00F467E3" w:rsidRDefault="006D444B" w:rsidP="001C4BC7">
            <w:pPr>
              <w:tabs>
                <w:tab w:val="left" w:pos="4608"/>
              </w:tabs>
              <w:spacing w:before="120" w:after="120" w:line="240" w:lineRule="auto"/>
              <w:rPr>
                <w:rFonts w:asciiTheme="majorHAnsi" w:hAnsiTheme="majorHAnsi"/>
                <w:b/>
                <w:lang w:val="es-ES"/>
              </w:rPr>
            </w:pPr>
            <w:r w:rsidRPr="00F467E3">
              <w:rPr>
                <w:rFonts w:asciiTheme="majorHAnsi" w:hAnsiTheme="majorHAnsi"/>
                <w:lang w:val="es-ES"/>
              </w:rPr>
              <w:t>Información detallada:</w:t>
            </w:r>
          </w:p>
        </w:tc>
        <w:tc>
          <w:tcPr>
            <w:tcW w:w="4725" w:type="dxa"/>
            <w:gridSpan w:val="2"/>
            <w:tcBorders>
              <w:bottom w:val="single" w:sz="4" w:space="0" w:color="auto"/>
            </w:tcBorders>
            <w:shd w:val="clear" w:color="auto" w:fill="auto"/>
          </w:tcPr>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7"/>
                  <w:enabled/>
                  <w:calcOnExit w:val="0"/>
                  <w:checkBox>
                    <w:sizeAuto/>
                    <w:default w:val="0"/>
                  </w:checkBox>
                </w:ffData>
              </w:fldChar>
            </w:r>
            <w:bookmarkStart w:id="8" w:name="Check7"/>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8"/>
            <w:r w:rsidR="00973EF2" w:rsidRPr="00F467E3">
              <w:rPr>
                <w:rFonts w:asciiTheme="majorHAnsi" w:hAnsiTheme="majorHAnsi"/>
                <w:lang w:val="es-ES"/>
              </w:rPr>
              <w:t>Conocimiento personal y compartido</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1"/>
                  <w:enabled/>
                  <w:calcOnExit w:val="0"/>
                  <w:checkBox>
                    <w:sizeAuto/>
                    <w:default w:val="1"/>
                  </w:checkBox>
                </w:ffData>
              </w:fldChar>
            </w:r>
            <w:bookmarkStart w:id="9" w:name="Check11"/>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9"/>
            <w:r w:rsidR="00973EF2" w:rsidRPr="00F467E3">
              <w:rPr>
                <w:rFonts w:asciiTheme="majorHAnsi" w:hAnsiTheme="majorHAnsi"/>
                <w:lang w:val="es-ES"/>
              </w:rPr>
              <w:t>Formas de conocimiento</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2"/>
                  <w:enabled/>
                  <w:calcOnExit w:val="0"/>
                  <w:checkBox>
                    <w:sizeAuto/>
                    <w:default w:val="1"/>
                  </w:checkBox>
                </w:ffData>
              </w:fldChar>
            </w:r>
            <w:bookmarkStart w:id="10" w:name="Check12"/>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10"/>
            <w:r w:rsidR="00973EF2" w:rsidRPr="00F467E3">
              <w:rPr>
                <w:rFonts w:asciiTheme="majorHAnsi" w:hAnsiTheme="majorHAnsi"/>
                <w:lang w:val="es-ES"/>
              </w:rPr>
              <w:t>Áreas de conocimiento</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3"/>
                  <w:enabled/>
                  <w:calcOnExit w:val="0"/>
                  <w:checkBox>
                    <w:sizeAuto/>
                    <w:default w:val="0"/>
                  </w:checkBox>
                </w:ffData>
              </w:fldChar>
            </w:r>
            <w:bookmarkStart w:id="11" w:name="Check13"/>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11"/>
            <w:r w:rsidR="00973EF2" w:rsidRPr="00F467E3">
              <w:rPr>
                <w:rFonts w:asciiTheme="majorHAnsi" w:hAnsiTheme="majorHAnsi"/>
                <w:lang w:val="es-ES"/>
              </w:rPr>
              <w:t>Marco de conocimiento</w:t>
            </w:r>
          </w:p>
          <w:p w:rsidR="005C7FA6" w:rsidRPr="00F467E3" w:rsidRDefault="006D444B" w:rsidP="005C7FA6">
            <w:pPr>
              <w:tabs>
                <w:tab w:val="left" w:pos="4608"/>
              </w:tabs>
              <w:spacing w:before="120" w:after="120" w:line="240" w:lineRule="auto"/>
              <w:rPr>
                <w:rFonts w:asciiTheme="majorHAnsi" w:hAnsiTheme="majorHAnsi"/>
                <w:lang w:val="es-ES"/>
              </w:rPr>
            </w:pPr>
            <w:r w:rsidRPr="00F467E3">
              <w:rPr>
                <w:rFonts w:asciiTheme="majorHAnsi" w:hAnsiTheme="majorHAnsi"/>
                <w:lang w:val="es-ES"/>
              </w:rPr>
              <w:t>Información detallada: Áreas de conocimiento: Historia y Sistemas religiosos de conocimiento; Formas de conocimiento: lenguaje y percepción sensorial</w:t>
            </w:r>
          </w:p>
          <w:p w:rsidR="006D444B" w:rsidRPr="00F467E3" w:rsidRDefault="006D444B" w:rsidP="001C4BC7">
            <w:pPr>
              <w:tabs>
                <w:tab w:val="left" w:pos="4608"/>
              </w:tabs>
              <w:spacing w:before="120" w:after="120" w:line="240" w:lineRule="auto"/>
              <w:rPr>
                <w:rFonts w:asciiTheme="majorHAnsi" w:hAnsiTheme="majorHAnsi"/>
                <w:lang w:val="es-ES"/>
              </w:rPr>
            </w:pPr>
          </w:p>
        </w:tc>
        <w:tc>
          <w:tcPr>
            <w:tcW w:w="4725" w:type="dxa"/>
            <w:tcBorders>
              <w:bottom w:val="single" w:sz="4" w:space="0" w:color="auto"/>
            </w:tcBorders>
            <w:shd w:val="clear" w:color="auto" w:fill="auto"/>
          </w:tcPr>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8"/>
                  <w:enabled/>
                  <w:calcOnExit w:val="0"/>
                  <w:checkBox>
                    <w:sizeAuto/>
                    <w:default w:val="0"/>
                  </w:checkBox>
                </w:ffData>
              </w:fldChar>
            </w:r>
            <w:bookmarkStart w:id="12" w:name="Check8"/>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12"/>
            <w:r w:rsidR="00973EF2" w:rsidRPr="00F467E3">
              <w:rPr>
                <w:rFonts w:asciiTheme="majorHAnsi" w:hAnsiTheme="majorHAnsi"/>
                <w:lang w:val="es-ES"/>
              </w:rPr>
              <w:t>Creatividad</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5"/>
                  <w:enabled/>
                  <w:calcOnExit w:val="0"/>
                  <w:checkBox>
                    <w:sizeAuto/>
                    <w:default w:val="0"/>
                  </w:checkBox>
                </w:ffData>
              </w:fldChar>
            </w:r>
            <w:bookmarkStart w:id="13" w:name="Check15"/>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13"/>
            <w:r w:rsidR="00973EF2" w:rsidRPr="00F467E3">
              <w:rPr>
                <w:rFonts w:asciiTheme="majorHAnsi" w:hAnsiTheme="majorHAnsi"/>
                <w:lang w:val="es-ES"/>
              </w:rPr>
              <w:t>Actividad</w:t>
            </w:r>
          </w:p>
          <w:p w:rsidR="006D444B" w:rsidRPr="00F467E3" w:rsidRDefault="00276F46" w:rsidP="001C4BC7">
            <w:pPr>
              <w:tabs>
                <w:tab w:val="left" w:pos="4608"/>
              </w:tabs>
              <w:spacing w:before="120" w:after="120" w:line="240" w:lineRule="auto"/>
              <w:rPr>
                <w:rFonts w:asciiTheme="majorHAnsi" w:hAnsiTheme="majorHAnsi"/>
                <w:lang w:val="es-ES"/>
              </w:rPr>
            </w:pPr>
            <w:r w:rsidRPr="00F467E3">
              <w:rPr>
                <w:rFonts w:asciiTheme="majorHAnsi" w:hAnsiTheme="majorHAnsi"/>
              </w:rPr>
              <w:fldChar w:fldCharType="begin">
                <w:ffData>
                  <w:name w:val="Check16"/>
                  <w:enabled/>
                  <w:calcOnExit w:val="0"/>
                  <w:checkBox>
                    <w:sizeAuto/>
                    <w:default w:val="0"/>
                  </w:checkBox>
                </w:ffData>
              </w:fldChar>
            </w:r>
            <w:bookmarkStart w:id="14" w:name="Check16"/>
            <w:r w:rsidR="00973EF2" w:rsidRPr="00F467E3">
              <w:rPr>
                <w:rFonts w:asciiTheme="majorHAnsi" w:hAnsiTheme="majorHAnsi"/>
                <w:lang w:val="es-ES"/>
              </w:rPr>
              <w:instrText xml:space="preserve"> FORMCHECKBOX </w:instrText>
            </w:r>
            <w:r w:rsidR="00871DED">
              <w:rPr>
                <w:rFonts w:asciiTheme="majorHAnsi" w:hAnsiTheme="majorHAnsi"/>
              </w:rPr>
            </w:r>
            <w:r w:rsidR="00871DED">
              <w:rPr>
                <w:rFonts w:asciiTheme="majorHAnsi" w:hAnsiTheme="majorHAnsi"/>
              </w:rPr>
              <w:fldChar w:fldCharType="separate"/>
            </w:r>
            <w:r w:rsidRPr="00F467E3">
              <w:rPr>
                <w:rFonts w:asciiTheme="majorHAnsi" w:hAnsiTheme="majorHAnsi"/>
              </w:rPr>
              <w:fldChar w:fldCharType="end"/>
            </w:r>
            <w:bookmarkEnd w:id="14"/>
            <w:r w:rsidR="00973EF2" w:rsidRPr="00F467E3">
              <w:rPr>
                <w:rFonts w:asciiTheme="majorHAnsi" w:hAnsiTheme="majorHAnsi"/>
                <w:lang w:val="es-ES"/>
              </w:rPr>
              <w:t>Servicio</w:t>
            </w:r>
          </w:p>
          <w:p w:rsidR="006D444B" w:rsidRPr="00F467E3" w:rsidRDefault="006D444B" w:rsidP="001C4BC7">
            <w:pPr>
              <w:tabs>
                <w:tab w:val="left" w:pos="4608"/>
              </w:tabs>
              <w:spacing w:before="120" w:after="120" w:line="240" w:lineRule="auto"/>
              <w:rPr>
                <w:rFonts w:asciiTheme="majorHAnsi" w:hAnsiTheme="majorHAnsi"/>
                <w:lang w:val="es-ES"/>
              </w:rPr>
            </w:pPr>
            <w:r w:rsidRPr="00F467E3">
              <w:rPr>
                <w:rFonts w:asciiTheme="majorHAnsi" w:hAnsiTheme="majorHAnsi"/>
                <w:lang w:val="es-ES"/>
              </w:rPr>
              <w:t xml:space="preserve">Información detallada: </w:t>
            </w:r>
          </w:p>
          <w:p w:rsidR="006D444B" w:rsidRPr="00F467E3" w:rsidRDefault="006D444B" w:rsidP="001C4BC7">
            <w:pPr>
              <w:tabs>
                <w:tab w:val="left" w:pos="4608"/>
              </w:tabs>
              <w:spacing w:before="120" w:after="120" w:line="240" w:lineRule="auto"/>
              <w:rPr>
                <w:rFonts w:asciiTheme="majorHAnsi" w:hAnsiTheme="majorHAnsi"/>
                <w:b/>
                <w:lang w:val="es-ES"/>
              </w:rPr>
            </w:pPr>
          </w:p>
        </w:tc>
      </w:tr>
      <w:tr w:rsidR="006D444B" w:rsidRPr="00F467E3" w:rsidTr="001C4BC7">
        <w:trPr>
          <w:trHeight w:val="554"/>
        </w:trPr>
        <w:tc>
          <w:tcPr>
            <w:tcW w:w="14174" w:type="dxa"/>
            <w:gridSpan w:val="4"/>
            <w:shd w:val="clear" w:color="auto" w:fill="D9D9D9"/>
          </w:tcPr>
          <w:p w:rsidR="006D444B" w:rsidRPr="00F467E3" w:rsidRDefault="006D444B" w:rsidP="001C4BC7">
            <w:pPr>
              <w:spacing w:before="120" w:after="120"/>
              <w:rPr>
                <w:rFonts w:asciiTheme="majorHAnsi" w:hAnsiTheme="majorHAnsi"/>
                <w:b/>
                <w:lang w:val="es-ES"/>
              </w:rPr>
            </w:pPr>
            <w:r w:rsidRPr="00F467E3">
              <w:rPr>
                <w:rFonts w:asciiTheme="majorHAnsi" w:hAnsiTheme="majorHAnsi"/>
                <w:b/>
                <w:bCs/>
                <w:lang w:val="es-ES"/>
              </w:rPr>
              <w:t>Recursos</w:t>
            </w:r>
          </w:p>
          <w:p w:rsidR="006D444B" w:rsidRPr="00F467E3" w:rsidRDefault="006D444B" w:rsidP="001C4BC7">
            <w:pPr>
              <w:spacing w:before="120" w:after="120"/>
              <w:rPr>
                <w:rFonts w:asciiTheme="majorHAnsi" w:hAnsiTheme="majorHAnsi"/>
                <w:i/>
                <w:lang w:val="es-ES"/>
              </w:rPr>
            </w:pPr>
            <w:r w:rsidRPr="00F467E3">
              <w:rPr>
                <w:rFonts w:asciiTheme="majorHAnsi" w:hAnsiTheme="majorHAnsi"/>
                <w:i/>
                <w:iCs/>
                <w:lang w:val="es-ES"/>
              </w:rPr>
              <w:t>Enumere y adjunte (si corresponde) los recursos utilizados en esta unidad.</w:t>
            </w:r>
          </w:p>
        </w:tc>
      </w:tr>
      <w:tr w:rsidR="006D444B" w:rsidRPr="00F467E3" w:rsidTr="001C4BC7">
        <w:trPr>
          <w:trHeight w:val="664"/>
        </w:trPr>
        <w:tc>
          <w:tcPr>
            <w:tcW w:w="14174" w:type="dxa"/>
            <w:gridSpan w:val="4"/>
            <w:shd w:val="clear" w:color="auto" w:fill="auto"/>
          </w:tcPr>
          <w:p w:rsidR="00885E84" w:rsidRPr="00F467E3" w:rsidRDefault="005C7FA6" w:rsidP="00885E84">
            <w:pPr>
              <w:pStyle w:val="Prrafodelista"/>
              <w:numPr>
                <w:ilvl w:val="0"/>
                <w:numId w:val="12"/>
              </w:numPr>
              <w:spacing w:before="120" w:after="120"/>
              <w:rPr>
                <w:rFonts w:asciiTheme="majorHAnsi" w:hAnsiTheme="majorHAnsi"/>
              </w:rPr>
            </w:pPr>
            <w:r w:rsidRPr="00F467E3">
              <w:rPr>
                <w:rFonts w:asciiTheme="majorHAnsi" w:hAnsiTheme="majorHAnsi"/>
                <w:bCs/>
                <w:i/>
                <w:iCs/>
              </w:rPr>
              <w:t>20</w:t>
            </w:r>
            <w:r w:rsidRPr="00F467E3">
              <w:rPr>
                <w:rFonts w:asciiTheme="majorHAnsi" w:hAnsiTheme="majorHAnsi"/>
                <w:bCs/>
                <w:i/>
                <w:iCs/>
                <w:vertAlign w:val="superscript"/>
              </w:rPr>
              <w:t>th</w:t>
            </w:r>
            <w:r w:rsidRPr="00F467E3">
              <w:rPr>
                <w:rFonts w:asciiTheme="majorHAnsi" w:hAnsiTheme="majorHAnsi"/>
                <w:bCs/>
                <w:i/>
                <w:iCs/>
              </w:rPr>
              <w:t xml:space="preserve"> Century IB History Companion</w:t>
            </w:r>
            <w:r w:rsidRPr="00F467E3">
              <w:rPr>
                <w:rFonts w:asciiTheme="majorHAnsi" w:hAnsiTheme="majorHAnsi"/>
                <w:bCs/>
              </w:rPr>
              <w:t>, 2012, Oxford University Press</w:t>
            </w:r>
            <w:r w:rsidRPr="00F467E3">
              <w:rPr>
                <w:rFonts w:asciiTheme="majorHAnsi" w:hAnsiTheme="majorHAnsi"/>
              </w:rPr>
              <w:t>.</w:t>
            </w:r>
          </w:p>
          <w:p w:rsidR="00885E84" w:rsidRPr="00F467E3" w:rsidRDefault="00885E84" w:rsidP="00885E84">
            <w:pPr>
              <w:pStyle w:val="Prrafodelista"/>
              <w:numPr>
                <w:ilvl w:val="0"/>
                <w:numId w:val="12"/>
              </w:numPr>
              <w:spacing w:before="120" w:after="120"/>
              <w:rPr>
                <w:rFonts w:asciiTheme="majorHAnsi" w:hAnsiTheme="majorHAnsi"/>
              </w:rPr>
            </w:pPr>
            <w:r w:rsidRPr="00F467E3">
              <w:rPr>
                <w:rFonts w:asciiTheme="majorHAnsi" w:eastAsia="Times New Roman" w:hAnsiTheme="majorHAnsi"/>
                <w:bCs/>
                <w:color w:val="222222"/>
                <w:shd w:val="clear" w:color="auto" w:fill="FFFFFF"/>
              </w:rPr>
              <w:t xml:space="preserve">ROGERS, K.; THOMAS, J. [eds.]. </w:t>
            </w:r>
            <w:r w:rsidRPr="00F467E3">
              <w:rPr>
                <w:rFonts w:asciiTheme="majorHAnsi" w:eastAsia="Times New Roman" w:hAnsiTheme="majorHAnsi"/>
                <w:bCs/>
                <w:i/>
                <w:iCs/>
                <w:color w:val="222222"/>
                <w:shd w:val="clear" w:color="auto" w:fill="FFFFFF"/>
              </w:rPr>
              <w:t>History 20th Century World</w:t>
            </w:r>
            <w:r w:rsidRPr="00F467E3">
              <w:rPr>
                <w:rFonts w:asciiTheme="majorHAnsi" w:eastAsia="Times New Roman" w:hAnsiTheme="majorHAnsi"/>
                <w:i/>
                <w:iCs/>
                <w:color w:val="222222"/>
                <w:shd w:val="clear" w:color="auto" w:fill="FFFFFF"/>
              </w:rPr>
              <w:t xml:space="preserve">: </w:t>
            </w:r>
            <w:r w:rsidRPr="00F467E3">
              <w:rPr>
                <w:rFonts w:asciiTheme="majorHAnsi" w:eastAsia="Times New Roman" w:hAnsiTheme="majorHAnsi"/>
                <w:bCs/>
                <w:i/>
                <w:iCs/>
                <w:color w:val="222222"/>
                <w:shd w:val="clear" w:color="auto" w:fill="FFFFFF"/>
              </w:rPr>
              <w:t xml:space="preserve">Causes, practices and effects of wars. </w:t>
            </w:r>
            <w:r w:rsidRPr="00F467E3">
              <w:rPr>
                <w:rFonts w:asciiTheme="majorHAnsi" w:eastAsia="Times New Roman" w:hAnsiTheme="majorHAnsi"/>
                <w:bCs/>
                <w:color w:val="222222"/>
                <w:shd w:val="clear" w:color="auto" w:fill="FFFFFF"/>
              </w:rPr>
              <w:t>Londres: Pearson, 2010</w:t>
            </w:r>
          </w:p>
          <w:p w:rsidR="005C7FA6" w:rsidRPr="00F467E3" w:rsidRDefault="005C7FA6" w:rsidP="00D57020">
            <w:pPr>
              <w:pStyle w:val="Prrafodelista"/>
              <w:numPr>
                <w:ilvl w:val="0"/>
                <w:numId w:val="12"/>
              </w:numPr>
              <w:spacing w:before="120" w:after="120"/>
              <w:rPr>
                <w:rFonts w:asciiTheme="majorHAnsi" w:hAnsiTheme="majorHAnsi"/>
              </w:rPr>
            </w:pPr>
            <w:r w:rsidRPr="00F467E3">
              <w:rPr>
                <w:rFonts w:asciiTheme="majorHAnsi" w:hAnsiTheme="majorHAnsi"/>
                <w:bCs/>
              </w:rPr>
              <w:t xml:space="preserve">MORRIS, T. A. </w:t>
            </w:r>
            <w:r w:rsidRPr="00F467E3">
              <w:rPr>
                <w:rFonts w:asciiTheme="majorHAnsi" w:hAnsiTheme="majorHAnsi"/>
                <w:bCs/>
                <w:i/>
                <w:iCs/>
              </w:rPr>
              <w:t xml:space="preserve">European History. </w:t>
            </w:r>
            <w:r w:rsidRPr="00F467E3">
              <w:rPr>
                <w:rFonts w:asciiTheme="majorHAnsi" w:hAnsiTheme="majorHAnsi"/>
                <w:bCs/>
              </w:rPr>
              <w:t>Collins Educational, 1995</w:t>
            </w:r>
          </w:p>
          <w:p w:rsidR="00D57020" w:rsidRPr="00F467E3" w:rsidRDefault="00D57020" w:rsidP="00D57020">
            <w:pPr>
              <w:pStyle w:val="Prrafodelista"/>
              <w:numPr>
                <w:ilvl w:val="0"/>
                <w:numId w:val="12"/>
              </w:numPr>
              <w:spacing w:before="120" w:after="120"/>
              <w:rPr>
                <w:rFonts w:asciiTheme="majorHAnsi" w:hAnsiTheme="majorHAnsi"/>
              </w:rPr>
            </w:pPr>
            <w:r w:rsidRPr="00F467E3">
              <w:rPr>
                <w:rFonts w:asciiTheme="majorHAnsi" w:hAnsiTheme="majorHAnsi"/>
                <w:bCs/>
              </w:rPr>
              <w:t>Johndclare.net.</w:t>
            </w:r>
          </w:p>
          <w:p w:rsidR="00D57020" w:rsidRPr="00F467E3" w:rsidRDefault="00D57020" w:rsidP="00D57020">
            <w:pPr>
              <w:pStyle w:val="Prrafodelista"/>
              <w:numPr>
                <w:ilvl w:val="0"/>
                <w:numId w:val="12"/>
              </w:numPr>
              <w:spacing w:before="120" w:after="120"/>
              <w:rPr>
                <w:rFonts w:asciiTheme="majorHAnsi" w:hAnsiTheme="majorHAnsi"/>
                <w:b/>
              </w:rPr>
            </w:pPr>
            <w:r w:rsidRPr="00F467E3">
              <w:rPr>
                <w:rFonts w:asciiTheme="majorHAnsi" w:hAnsiTheme="majorHAnsi"/>
                <w:bCs/>
              </w:rPr>
              <w:t>Activehistory.co.uk.</w:t>
            </w:r>
          </w:p>
        </w:tc>
      </w:tr>
    </w:tbl>
    <w:p w:rsidR="006D444B" w:rsidRPr="00F467E3" w:rsidRDefault="006D444B" w:rsidP="006D444B">
      <w:pPr>
        <w:spacing w:before="120" w:after="120" w:line="240" w:lineRule="auto"/>
        <w:rPr>
          <w:rFonts w:asciiTheme="majorHAnsi" w:hAnsiTheme="majorHAnsi"/>
          <w:b/>
          <w:i/>
        </w:rPr>
      </w:pPr>
    </w:p>
    <w:p w:rsidR="006D444B" w:rsidRPr="00F467E3" w:rsidRDefault="006D444B" w:rsidP="006D444B">
      <w:pPr>
        <w:spacing w:before="120" w:after="120" w:line="240" w:lineRule="auto"/>
        <w:rPr>
          <w:rFonts w:asciiTheme="majorHAnsi" w:hAnsiTheme="majorHAnsi"/>
          <w:b/>
          <w:i/>
          <w:lang w:val="es-ES"/>
        </w:rPr>
      </w:pPr>
      <w:r w:rsidRPr="00F467E3">
        <w:rPr>
          <w:rFonts w:asciiTheme="majorHAnsi" w:hAnsiTheme="majorHAnsi"/>
          <w:b/>
          <w:bCs/>
          <w:i/>
          <w:iCs/>
          <w:lang w:val="es-ES"/>
        </w:rPr>
        <w:lastRenderedPageBreak/>
        <w:t>REFLEXIÓN: consideración de la planificación, el proceso y el impacto de la indagación</w:t>
      </w:r>
      <w:r w:rsidRPr="00F467E3">
        <w:rPr>
          <w:rFonts w:asciiTheme="majorHAnsi" w:hAnsiTheme="majorHAnsi"/>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6D444B" w:rsidRPr="00F467E3" w:rsidTr="001C4BC7">
        <w:tc>
          <w:tcPr>
            <w:tcW w:w="4724" w:type="dxa"/>
            <w:shd w:val="clear" w:color="auto" w:fill="D9D9D9"/>
          </w:tcPr>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b/>
                <w:bCs/>
                <w:lang w:val="es-ES"/>
              </w:rPr>
              <w:t>Lo que funcionó bien</w:t>
            </w:r>
          </w:p>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i/>
                <w:iCs/>
                <w:lang w:val="es-ES"/>
              </w:rPr>
              <w:t>Enumere las partes de la unidad (contenido, evaluación, planificación) que funcionaron bien.</w:t>
            </w:r>
          </w:p>
        </w:tc>
        <w:tc>
          <w:tcPr>
            <w:tcW w:w="4725" w:type="dxa"/>
            <w:shd w:val="clear" w:color="auto" w:fill="D9D9D9"/>
          </w:tcPr>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b/>
                <w:bCs/>
                <w:lang w:val="es-ES"/>
              </w:rPr>
              <w:t>Lo que no funcionó bien</w:t>
            </w:r>
          </w:p>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i/>
                <w:iCs/>
                <w:lang w:val="es-ES"/>
              </w:rPr>
              <w:t>Enumere las partes de la unidad (contenido, evaluación, planificación) que no funcionaron tan bien como se esperaba.</w:t>
            </w:r>
          </w:p>
        </w:tc>
        <w:tc>
          <w:tcPr>
            <w:tcW w:w="4725" w:type="dxa"/>
            <w:shd w:val="clear" w:color="auto" w:fill="D9D9D9"/>
          </w:tcPr>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b/>
                <w:bCs/>
                <w:lang w:val="es-ES"/>
              </w:rPr>
              <w:t>Observaciones, cambios y sugerencias:</w:t>
            </w:r>
          </w:p>
          <w:p w:rsidR="006D444B" w:rsidRPr="00F467E3" w:rsidRDefault="006D444B" w:rsidP="001C4BC7">
            <w:pPr>
              <w:spacing w:before="120" w:after="120" w:line="240" w:lineRule="auto"/>
              <w:rPr>
                <w:rFonts w:asciiTheme="majorHAnsi" w:hAnsiTheme="majorHAnsi"/>
                <w:b/>
                <w:lang w:val="es-ES"/>
              </w:rPr>
            </w:pPr>
            <w:r w:rsidRPr="00F467E3">
              <w:rPr>
                <w:rFonts w:asciiTheme="majorHAnsi" w:hAnsiTheme="majorHAnsi"/>
                <w:i/>
                <w:iCs/>
                <w:lang w:val="es-ES"/>
              </w:rPr>
              <w:t>Formule sus observaciones, sugerencias o consideraciones para la enseñanza de esta unidad en el futuro.</w:t>
            </w:r>
          </w:p>
        </w:tc>
      </w:tr>
      <w:tr w:rsidR="005A5362" w:rsidRPr="00F467E3" w:rsidTr="001C4BC7">
        <w:trPr>
          <w:trHeight w:val="746"/>
        </w:trPr>
        <w:tc>
          <w:tcPr>
            <w:tcW w:w="4724" w:type="dxa"/>
          </w:tcPr>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El material historiográfico de buena calidad proporcionó a los alumnos una variedad de perspectivas históricas.</w:t>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Los seminarios socráticos fueron eficaces por la ambigüedad de determinar quién fue el culpable del inicio de la guerra.</w:t>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Se prestó atención especial a la organización, el conocimiento y el pensamiento crítico.</w:t>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 xml:space="preserve">La práctica cronometrada con la prueba 2 dio a los alumnos la posibilidad de tener una idea de cómo son los exámenes finales del IB. Los alumnos señalaron que esta práctica auténtica para los finales les resultó de gran utilidad. </w:t>
            </w:r>
          </w:p>
          <w:p w:rsidR="005A5362" w:rsidRPr="00F467E3" w:rsidRDefault="005A5362" w:rsidP="001C4BC7">
            <w:pPr>
              <w:spacing w:before="120" w:after="120" w:line="240" w:lineRule="auto"/>
              <w:rPr>
                <w:rFonts w:asciiTheme="majorHAnsi" w:hAnsiTheme="majorHAnsi"/>
                <w:b/>
                <w:lang w:val="es-ES"/>
              </w:rPr>
            </w:pPr>
          </w:p>
        </w:tc>
        <w:tc>
          <w:tcPr>
            <w:tcW w:w="4725" w:type="dxa"/>
          </w:tcPr>
          <w:p w:rsidR="005A5362" w:rsidRPr="00F467E3" w:rsidRDefault="005A5362" w:rsidP="005A5362">
            <w:pPr>
              <w:pStyle w:val="Prrafodelista"/>
              <w:numPr>
                <w:ilvl w:val="0"/>
                <w:numId w:val="13"/>
              </w:numPr>
              <w:spacing w:before="120" w:after="120" w:line="240" w:lineRule="auto"/>
              <w:rPr>
                <w:rFonts w:asciiTheme="majorHAnsi" w:hAnsiTheme="majorHAnsi"/>
                <w:bCs/>
                <w:lang w:val="es-ES"/>
              </w:rPr>
            </w:pPr>
            <w:r w:rsidRPr="00F467E3">
              <w:rPr>
                <w:rFonts w:asciiTheme="majorHAnsi" w:hAnsiTheme="majorHAnsi"/>
                <w:lang w:val="es-ES"/>
              </w:rPr>
              <w:t>La práctica y el curso de la guerra muchas veces no se tratan con profundidad debido a la falta de tiempo y al énfasis de la historia social de la estrategia militar.</w:t>
            </w:r>
          </w:p>
          <w:p w:rsidR="005A5362" w:rsidRPr="00F467E3" w:rsidRDefault="005A5362" w:rsidP="005A5362">
            <w:pPr>
              <w:pStyle w:val="Prrafodelista"/>
              <w:numPr>
                <w:ilvl w:val="0"/>
                <w:numId w:val="13"/>
              </w:numPr>
              <w:spacing w:before="120" w:after="120" w:line="240" w:lineRule="auto"/>
              <w:rPr>
                <w:rFonts w:asciiTheme="majorHAnsi" w:hAnsiTheme="majorHAnsi"/>
                <w:bCs/>
                <w:lang w:val="es-ES"/>
              </w:rPr>
            </w:pPr>
            <w:r w:rsidRPr="00F467E3">
              <w:rPr>
                <w:rFonts w:asciiTheme="majorHAnsi" w:hAnsiTheme="majorHAnsi"/>
                <w:lang w:val="es-ES"/>
              </w:rPr>
              <w:t>No se prestó suficiente atención a los grupos de la resistencia, el rol de las mujeres, las minorías y los efectos económicos en la población civil.</w:t>
            </w:r>
          </w:p>
          <w:p w:rsidR="005A5362" w:rsidRPr="00F467E3" w:rsidRDefault="005A5362" w:rsidP="005A5362">
            <w:pPr>
              <w:pStyle w:val="Prrafodelista"/>
              <w:numPr>
                <w:ilvl w:val="0"/>
                <w:numId w:val="13"/>
              </w:numPr>
              <w:spacing w:before="120" w:after="120" w:line="240" w:lineRule="auto"/>
              <w:rPr>
                <w:rFonts w:asciiTheme="majorHAnsi" w:hAnsiTheme="majorHAnsi"/>
                <w:bCs/>
                <w:lang w:val="es-ES"/>
              </w:rPr>
            </w:pPr>
            <w:r w:rsidRPr="00F467E3">
              <w:rPr>
                <w:rFonts w:asciiTheme="majorHAnsi" w:hAnsiTheme="majorHAnsi"/>
                <w:lang w:val="es-ES"/>
              </w:rPr>
              <w:t>Los alumnos tuvieron algunas dificultades en el manejo del tiempo; les resultó difícil desarrollar dos respuestas largas exhaustivas en el tiempo asignado para la evaluación.</w:t>
            </w:r>
          </w:p>
        </w:tc>
        <w:tc>
          <w:tcPr>
            <w:tcW w:w="4725" w:type="dxa"/>
          </w:tcPr>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Tener presente el calendario. Respetarlo. Destinar menos tiempo a las causas y analizar el material.</w:t>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Hacer que los alumnos se centren en cuatro batallas decisivas en el curso de la guerra.</w:t>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 xml:space="preserve">Realizar cuestionarios (con cuestiones que aparecen con mayor frecuencia) para prepararlos para la prueba 2. </w:t>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 xml:space="preserve">Diseñar las clases en función de los términos de examen. Los alumnos deben conocer y comprender mejor los requisitos específicos de la pregunta. </w:t>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Planificar lecturas para cada clase y unidad con anticipación.</w:t>
            </w:r>
            <w:r w:rsidRPr="00F467E3">
              <w:rPr>
                <w:rFonts w:asciiTheme="majorHAnsi" w:hAnsiTheme="majorHAnsi"/>
                <w:lang w:val="es-ES"/>
              </w:rPr>
              <w:br/>
            </w:r>
            <w:r w:rsidRPr="00F467E3">
              <w:rPr>
                <w:rFonts w:asciiTheme="majorHAnsi" w:hAnsiTheme="majorHAnsi"/>
                <w:lang w:val="es-ES"/>
              </w:rPr>
              <w:br/>
            </w:r>
          </w:p>
          <w:p w:rsidR="005A5362" w:rsidRPr="00F467E3" w:rsidRDefault="005A5362" w:rsidP="005A5362">
            <w:pPr>
              <w:pStyle w:val="Prrafodelista"/>
              <w:numPr>
                <w:ilvl w:val="0"/>
                <w:numId w:val="13"/>
              </w:numPr>
              <w:spacing w:before="120" w:after="120" w:line="240" w:lineRule="auto"/>
              <w:rPr>
                <w:rFonts w:asciiTheme="majorHAnsi" w:hAnsiTheme="majorHAnsi"/>
                <w:lang w:val="es-ES"/>
              </w:rPr>
            </w:pPr>
            <w:r w:rsidRPr="00F467E3">
              <w:rPr>
                <w:rFonts w:asciiTheme="majorHAnsi" w:hAnsiTheme="majorHAnsi"/>
                <w:lang w:val="es-ES"/>
              </w:rPr>
              <w:t>Incluir más cuestionarios o pruebas basados en conocimientos antes del examen. Nos encantan las habilidades, pero se debe estudiar bien el contenido antes de poder lograr un pensamiento profundo y crítico.</w:t>
            </w:r>
          </w:p>
        </w:tc>
      </w:tr>
    </w:tbl>
    <w:p w:rsidR="00F20FCA" w:rsidRPr="00F467E3" w:rsidRDefault="00F20FCA">
      <w:pPr>
        <w:rPr>
          <w:rFonts w:asciiTheme="majorHAnsi" w:hAnsiTheme="majorHAnsi"/>
          <w:lang w:val="es-ES"/>
        </w:rPr>
      </w:pPr>
    </w:p>
    <w:sectPr w:rsidR="00F20FCA" w:rsidRPr="00F467E3" w:rsidSect="001C4BC7">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ED" w:rsidRDefault="00871DED" w:rsidP="006D444B">
      <w:pPr>
        <w:spacing w:after="0" w:line="240" w:lineRule="auto"/>
      </w:pPr>
      <w:r>
        <w:separator/>
      </w:r>
    </w:p>
  </w:endnote>
  <w:endnote w:type="continuationSeparator" w:id="0">
    <w:p w:rsidR="00871DED" w:rsidRDefault="00871DED"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C7" w:rsidRDefault="00276F46" w:rsidP="001C4BC7">
    <w:pPr>
      <w:pStyle w:val="Piedepgina"/>
      <w:framePr w:wrap="around" w:vAnchor="text" w:hAnchor="margin" w:xAlign="right" w:y="1"/>
      <w:rPr>
        <w:rStyle w:val="Nmerodepgina"/>
      </w:rPr>
    </w:pPr>
    <w:r>
      <w:rPr>
        <w:rStyle w:val="Nmerodepgina"/>
      </w:rPr>
      <w:fldChar w:fldCharType="begin"/>
    </w:r>
    <w:r w:rsidR="001C4BC7">
      <w:rPr>
        <w:rStyle w:val="Nmerodepgina"/>
      </w:rPr>
      <w:instrText xml:space="preserve">PAGE  </w:instrText>
    </w:r>
    <w:r>
      <w:rPr>
        <w:rStyle w:val="Nmerodepgina"/>
      </w:rPr>
      <w:fldChar w:fldCharType="end"/>
    </w:r>
  </w:p>
  <w:p w:rsidR="001C4BC7" w:rsidRDefault="001C4BC7" w:rsidP="001C4B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C7" w:rsidRDefault="00276F46" w:rsidP="001C4BC7">
    <w:pPr>
      <w:pStyle w:val="Piedepgina"/>
      <w:framePr w:wrap="around" w:vAnchor="text" w:hAnchor="margin" w:xAlign="right" w:y="1"/>
      <w:rPr>
        <w:rStyle w:val="Nmerodepgina"/>
      </w:rPr>
    </w:pPr>
    <w:r>
      <w:rPr>
        <w:rStyle w:val="Nmerodepgina"/>
      </w:rPr>
      <w:fldChar w:fldCharType="begin"/>
    </w:r>
    <w:r w:rsidR="001C4BC7">
      <w:rPr>
        <w:rStyle w:val="Nmerodepgina"/>
      </w:rPr>
      <w:instrText xml:space="preserve">PAGE  </w:instrText>
    </w:r>
    <w:r>
      <w:rPr>
        <w:rStyle w:val="Nmerodepgina"/>
      </w:rPr>
      <w:fldChar w:fldCharType="separate"/>
    </w:r>
    <w:r w:rsidR="0038769A">
      <w:rPr>
        <w:rStyle w:val="Nmerodepgina"/>
        <w:noProof/>
      </w:rPr>
      <w:t>1</w:t>
    </w:r>
    <w:r>
      <w:rPr>
        <w:rStyle w:val="Nmerodepgina"/>
      </w:rPr>
      <w:fldChar w:fldCharType="end"/>
    </w:r>
  </w:p>
  <w:p w:rsidR="001C4BC7" w:rsidRPr="00497FF0" w:rsidRDefault="001C4BC7" w:rsidP="001C4BC7">
    <w:pPr>
      <w:pStyle w:val="Piedepgina"/>
      <w:ind w:right="360"/>
      <w:rPr>
        <w:lang w:val="es-ES"/>
      </w:rPr>
    </w:pPr>
    <w:r w:rsidRPr="00F467E3">
      <w:rPr>
        <w:lang w:val="es-ES"/>
      </w:rPr>
      <w:t>Planificador de unidades del PD: ejemplo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ED" w:rsidRDefault="00871DED" w:rsidP="006D444B">
      <w:pPr>
        <w:spacing w:after="0" w:line="240" w:lineRule="auto"/>
      </w:pPr>
      <w:r>
        <w:separator/>
      </w:r>
    </w:p>
  </w:footnote>
  <w:footnote w:type="continuationSeparator" w:id="0">
    <w:p w:rsidR="00871DED" w:rsidRDefault="00871DED" w:rsidP="006D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C7" w:rsidRDefault="001C4BC7">
    <w:pPr>
      <w:pStyle w:val="Encabezado"/>
    </w:pPr>
    <w:r>
      <w:rPr>
        <w:noProof/>
      </w:rPr>
      <w:tab/>
    </w:r>
    <w:r>
      <w:rPr>
        <w:noProof/>
      </w:rPr>
      <w:tab/>
    </w:r>
    <w:r>
      <w:rPr>
        <w:noProof/>
      </w:rPr>
      <w:tab/>
    </w:r>
    <w:r>
      <w:rPr>
        <w:noProof/>
      </w:rPr>
      <w:tab/>
    </w:r>
    <w:r>
      <w:rPr>
        <w:noProof/>
      </w:rPr>
      <w:tab/>
    </w:r>
    <w:r>
      <w:rPr>
        <w:noProof/>
        <w:lang w:val="es-CO" w:eastAsia="es-CO"/>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7DF1"/>
    <w:multiLevelType w:val="hybridMultilevel"/>
    <w:tmpl w:val="E0A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2294A"/>
    <w:multiLevelType w:val="hybridMultilevel"/>
    <w:tmpl w:val="B458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40322"/>
    <w:multiLevelType w:val="hybridMultilevel"/>
    <w:tmpl w:val="35267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A6560"/>
    <w:multiLevelType w:val="hybridMultilevel"/>
    <w:tmpl w:val="304C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76ED4"/>
    <w:multiLevelType w:val="hybridMultilevel"/>
    <w:tmpl w:val="9704F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35B4C"/>
    <w:multiLevelType w:val="hybridMultilevel"/>
    <w:tmpl w:val="5DF6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C13B24"/>
    <w:multiLevelType w:val="hybridMultilevel"/>
    <w:tmpl w:val="10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408F3"/>
    <w:multiLevelType w:val="hybridMultilevel"/>
    <w:tmpl w:val="935E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153935"/>
    <w:multiLevelType w:val="hybridMultilevel"/>
    <w:tmpl w:val="AAB0BD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4621B5"/>
    <w:multiLevelType w:val="hybridMultilevel"/>
    <w:tmpl w:val="5538A4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BA7D66">
      <w:start w:val="1"/>
      <w:numFmt w:val="decimal"/>
      <w:lvlText w:val="%4."/>
      <w:lvlJc w:val="left"/>
      <w:pPr>
        <w:ind w:left="567" w:hanging="567"/>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EA22D2"/>
    <w:multiLevelType w:val="hybridMultilevel"/>
    <w:tmpl w:val="F6B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5387A"/>
    <w:multiLevelType w:val="hybridMultilevel"/>
    <w:tmpl w:val="BA9EC0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805381"/>
    <w:multiLevelType w:val="hybridMultilevel"/>
    <w:tmpl w:val="6F3A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12"/>
  </w:num>
  <w:num w:numId="6">
    <w:abstractNumId w:val="1"/>
  </w:num>
  <w:num w:numId="7">
    <w:abstractNumId w:val="6"/>
  </w:num>
  <w:num w:numId="8">
    <w:abstractNumId w:val="5"/>
  </w:num>
  <w:num w:numId="9">
    <w:abstractNumId w:val="11"/>
  </w:num>
  <w:num w:numId="10">
    <w:abstractNumId w:val="9"/>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30B44"/>
    <w:rsid w:val="0005525F"/>
    <w:rsid w:val="00095455"/>
    <w:rsid w:val="000C6243"/>
    <w:rsid w:val="000E194D"/>
    <w:rsid w:val="000F173F"/>
    <w:rsid w:val="000F3D74"/>
    <w:rsid w:val="00100B48"/>
    <w:rsid w:val="00107E4B"/>
    <w:rsid w:val="00115DCF"/>
    <w:rsid w:val="00116C3C"/>
    <w:rsid w:val="00120DF4"/>
    <w:rsid w:val="00174A1C"/>
    <w:rsid w:val="001C4BC7"/>
    <w:rsid w:val="00212A9E"/>
    <w:rsid w:val="002270CD"/>
    <w:rsid w:val="00244C88"/>
    <w:rsid w:val="00276F46"/>
    <w:rsid w:val="00286C49"/>
    <w:rsid w:val="00330308"/>
    <w:rsid w:val="003304DA"/>
    <w:rsid w:val="0038769A"/>
    <w:rsid w:val="00394715"/>
    <w:rsid w:val="003951CF"/>
    <w:rsid w:val="003A1372"/>
    <w:rsid w:val="003F61DF"/>
    <w:rsid w:val="004023F3"/>
    <w:rsid w:val="00452DBA"/>
    <w:rsid w:val="00456220"/>
    <w:rsid w:val="00497FF0"/>
    <w:rsid w:val="005044BE"/>
    <w:rsid w:val="0055467D"/>
    <w:rsid w:val="005A5362"/>
    <w:rsid w:val="005C7FA6"/>
    <w:rsid w:val="0063616C"/>
    <w:rsid w:val="006578A0"/>
    <w:rsid w:val="00682354"/>
    <w:rsid w:val="00686DA2"/>
    <w:rsid w:val="006D444B"/>
    <w:rsid w:val="006F4057"/>
    <w:rsid w:val="00706F05"/>
    <w:rsid w:val="00727164"/>
    <w:rsid w:val="00780B80"/>
    <w:rsid w:val="007B5E56"/>
    <w:rsid w:val="007C4036"/>
    <w:rsid w:val="007E3A9C"/>
    <w:rsid w:val="007F298B"/>
    <w:rsid w:val="007F590A"/>
    <w:rsid w:val="0084531F"/>
    <w:rsid w:val="008671D8"/>
    <w:rsid w:val="00871DED"/>
    <w:rsid w:val="00873A7F"/>
    <w:rsid w:val="00885E84"/>
    <w:rsid w:val="008B38FA"/>
    <w:rsid w:val="008B3B09"/>
    <w:rsid w:val="008C381C"/>
    <w:rsid w:val="008E710B"/>
    <w:rsid w:val="00973EF2"/>
    <w:rsid w:val="009A1E8A"/>
    <w:rsid w:val="009C10CD"/>
    <w:rsid w:val="009D4AB1"/>
    <w:rsid w:val="009F7EB6"/>
    <w:rsid w:val="00A0573D"/>
    <w:rsid w:val="00A6358E"/>
    <w:rsid w:val="00A71BBB"/>
    <w:rsid w:val="00A96842"/>
    <w:rsid w:val="00AC00AB"/>
    <w:rsid w:val="00AF533F"/>
    <w:rsid w:val="00B74468"/>
    <w:rsid w:val="00B7510D"/>
    <w:rsid w:val="00B81EC0"/>
    <w:rsid w:val="00BA1D99"/>
    <w:rsid w:val="00BA2FF9"/>
    <w:rsid w:val="00C12623"/>
    <w:rsid w:val="00C20102"/>
    <w:rsid w:val="00C27F3C"/>
    <w:rsid w:val="00C376E1"/>
    <w:rsid w:val="00C41CEC"/>
    <w:rsid w:val="00C45221"/>
    <w:rsid w:val="00C8356A"/>
    <w:rsid w:val="00D135C9"/>
    <w:rsid w:val="00D3509B"/>
    <w:rsid w:val="00D425B0"/>
    <w:rsid w:val="00D57020"/>
    <w:rsid w:val="00D6276C"/>
    <w:rsid w:val="00D817E4"/>
    <w:rsid w:val="00E469B2"/>
    <w:rsid w:val="00E84F19"/>
    <w:rsid w:val="00E96DF5"/>
    <w:rsid w:val="00F0332D"/>
    <w:rsid w:val="00F20FCA"/>
    <w:rsid w:val="00F43D2B"/>
    <w:rsid w:val="00F44316"/>
    <w:rsid w:val="00F467E3"/>
    <w:rsid w:val="00F52312"/>
    <w:rsid w:val="00FA18D4"/>
    <w:rsid w:val="00FB5290"/>
    <w:rsid w:val="00FD34F2"/>
    <w:rsid w:val="00FD6B5A"/>
    <w:rsid w:val="00FF6367"/>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FAD06B7-7889-4015-8EA6-E62D1460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44B"/>
    <w:pPr>
      <w:spacing w:after="200" w:line="276" w:lineRule="auto"/>
    </w:pPr>
    <w:rPr>
      <w:rFonts w:ascii="Calibri" w:eastAsia="Calibri" w:hAnsi="Calibri" w:cs="Times New Roman"/>
      <w:sz w:val="22"/>
      <w:szCs w:val="22"/>
      <w:lang w:val="en-GB"/>
    </w:rPr>
  </w:style>
  <w:style w:type="paragraph" w:styleId="Ttulo1">
    <w:name w:val="heading 1"/>
    <w:basedOn w:val="Normal"/>
    <w:next w:val="Normal"/>
    <w:link w:val="Heading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Ttulo1"/>
    <w:uiPriority w:val="9"/>
    <w:rsid w:val="006D444B"/>
    <w:rPr>
      <w:rFonts w:ascii="Cambria" w:eastAsia="Times New Roman" w:hAnsi="Cambria" w:cs="Times New Roman"/>
      <w:b/>
      <w:bCs/>
      <w:kern w:val="32"/>
      <w:sz w:val="32"/>
      <w:szCs w:val="32"/>
      <w:lang w:val="en-GB"/>
    </w:rPr>
  </w:style>
  <w:style w:type="character" w:styleId="Textoennegrita">
    <w:name w:val="Strong"/>
    <w:basedOn w:val="Fuentedeprrafopredeter"/>
    <w:qFormat/>
    <w:rsid w:val="006D444B"/>
    <w:rPr>
      <w:b/>
    </w:rPr>
  </w:style>
  <w:style w:type="paragraph" w:styleId="Encabezado">
    <w:name w:val="header"/>
    <w:basedOn w:val="Normal"/>
    <w:link w:val="HeaderChar"/>
    <w:uiPriority w:val="99"/>
    <w:unhideWhenUsed/>
    <w:rsid w:val="006D444B"/>
    <w:pPr>
      <w:tabs>
        <w:tab w:val="center" w:pos="4513"/>
        <w:tab w:val="right" w:pos="9026"/>
      </w:tabs>
    </w:pPr>
  </w:style>
  <w:style w:type="character" w:customStyle="1" w:styleId="HeaderChar">
    <w:name w:val="Header Char"/>
    <w:basedOn w:val="Fuentedeprrafopredeter"/>
    <w:link w:val="Encabezado"/>
    <w:uiPriority w:val="99"/>
    <w:rsid w:val="006D444B"/>
    <w:rPr>
      <w:rFonts w:ascii="Calibri" w:eastAsia="Calibri" w:hAnsi="Calibri" w:cs="Times New Roman"/>
      <w:sz w:val="22"/>
      <w:szCs w:val="22"/>
      <w:lang w:val="en-GB"/>
    </w:rPr>
  </w:style>
  <w:style w:type="paragraph" w:styleId="Piedepgina">
    <w:name w:val="footer"/>
    <w:basedOn w:val="Normal"/>
    <w:link w:val="FooterChar"/>
    <w:uiPriority w:val="99"/>
    <w:unhideWhenUsed/>
    <w:rsid w:val="006D444B"/>
    <w:pPr>
      <w:tabs>
        <w:tab w:val="center" w:pos="4513"/>
        <w:tab w:val="right" w:pos="9026"/>
      </w:tabs>
    </w:pPr>
  </w:style>
  <w:style w:type="character" w:customStyle="1" w:styleId="FooterChar">
    <w:name w:val="Footer Char"/>
    <w:basedOn w:val="Fuentedeprrafopredeter"/>
    <w:link w:val="Piedepgina"/>
    <w:uiPriority w:val="99"/>
    <w:rsid w:val="006D444B"/>
    <w:rPr>
      <w:rFonts w:ascii="Calibri" w:eastAsia="Calibri" w:hAnsi="Calibri" w:cs="Times New Roman"/>
      <w:sz w:val="22"/>
      <w:szCs w:val="22"/>
      <w:lang w:val="en-GB"/>
    </w:rPr>
  </w:style>
  <w:style w:type="character" w:styleId="Nmerodepgina">
    <w:name w:val="page number"/>
    <w:basedOn w:val="Fuentedeprrafopredeter"/>
    <w:uiPriority w:val="99"/>
    <w:semiHidden/>
    <w:unhideWhenUsed/>
    <w:rsid w:val="006D444B"/>
  </w:style>
  <w:style w:type="paragraph" w:styleId="Sinespaciado">
    <w:name w:val="No Spacing"/>
    <w:uiPriority w:val="1"/>
    <w:qFormat/>
    <w:rsid w:val="006D444B"/>
    <w:rPr>
      <w:rFonts w:eastAsiaTheme="minorHAnsi"/>
      <w:sz w:val="22"/>
      <w:szCs w:val="22"/>
      <w:lang w:val="nl-NL"/>
    </w:rPr>
  </w:style>
  <w:style w:type="paragraph" w:styleId="Textodeglobo">
    <w:name w:val="Balloon Text"/>
    <w:basedOn w:val="Normal"/>
    <w:link w:val="BalloonTextChar"/>
    <w:uiPriority w:val="99"/>
    <w:semiHidden/>
    <w:unhideWhenUsed/>
    <w:rsid w:val="006D444B"/>
    <w:pPr>
      <w:spacing w:after="0" w:line="240" w:lineRule="auto"/>
    </w:pPr>
    <w:rPr>
      <w:rFonts w:ascii="Lucida Grande" w:hAnsi="Lucida Grande" w:cs="Lucida Grande"/>
      <w:sz w:val="18"/>
      <w:szCs w:val="18"/>
    </w:rPr>
  </w:style>
  <w:style w:type="character" w:customStyle="1" w:styleId="BalloonTextChar">
    <w:name w:val="Balloon Text Char"/>
    <w:basedOn w:val="Fuentedeprrafopredeter"/>
    <w:link w:val="Textodeglobo"/>
    <w:uiPriority w:val="99"/>
    <w:semiHidden/>
    <w:rsid w:val="006D444B"/>
    <w:rPr>
      <w:rFonts w:ascii="Lucida Grande" w:eastAsia="Calibri" w:hAnsi="Lucida Grande" w:cs="Lucida Grande"/>
      <w:sz w:val="18"/>
      <w:szCs w:val="18"/>
      <w:lang w:val="en-GB"/>
    </w:rPr>
  </w:style>
  <w:style w:type="paragraph" w:styleId="Prrafodelista">
    <w:name w:val="List Paragraph"/>
    <w:basedOn w:val="Normal"/>
    <w:uiPriority w:val="34"/>
    <w:qFormat/>
    <w:rsid w:val="00BA1D99"/>
    <w:pPr>
      <w:ind w:left="720"/>
      <w:contextualSpacing/>
    </w:pPr>
  </w:style>
  <w:style w:type="character" w:styleId="Refdecomentario">
    <w:name w:val="annotation reference"/>
    <w:basedOn w:val="Fuentedeprrafopredeter"/>
    <w:uiPriority w:val="99"/>
    <w:semiHidden/>
    <w:unhideWhenUsed/>
    <w:rsid w:val="00107E4B"/>
    <w:rPr>
      <w:sz w:val="16"/>
      <w:szCs w:val="16"/>
    </w:rPr>
  </w:style>
  <w:style w:type="paragraph" w:styleId="Textocomentario">
    <w:name w:val="annotation text"/>
    <w:basedOn w:val="Normal"/>
    <w:link w:val="TextocomentarioCar"/>
    <w:uiPriority w:val="99"/>
    <w:semiHidden/>
    <w:unhideWhenUsed/>
    <w:rsid w:val="00107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7E4B"/>
    <w:rPr>
      <w:rFonts w:ascii="Calibri" w:eastAsia="Calibri" w:hAnsi="Calibri"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107E4B"/>
    <w:rPr>
      <w:b/>
      <w:bCs/>
    </w:rPr>
  </w:style>
  <w:style w:type="character" w:customStyle="1" w:styleId="AsuntodelcomentarioCar">
    <w:name w:val="Asunto del comentario Car"/>
    <w:basedOn w:val="TextocomentarioCar"/>
    <w:link w:val="Asuntodelcomentario"/>
    <w:uiPriority w:val="99"/>
    <w:semiHidden/>
    <w:rsid w:val="00107E4B"/>
    <w:rPr>
      <w:rFonts w:ascii="Calibri" w:eastAsia="Calibri" w:hAnsi="Calibri" w:cs="Times New Roman"/>
      <w:b/>
      <w:bCs/>
      <w:sz w:val="20"/>
      <w:szCs w:val="20"/>
      <w:lang w:val="en-GB"/>
    </w:rPr>
  </w:style>
  <w:style w:type="character" w:styleId="Hipervnculo">
    <w:name w:val="Hyperlink"/>
    <w:basedOn w:val="Fuentedeprrafopredeter"/>
    <w:rsid w:val="00F46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publishing.ibo.org/dpatl/es/gui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bpublishing.ibo.org/dpatl/es/guid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05C5-49FD-4AAE-A55E-322EC37D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9530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Putney School</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Carolina Avendano</cp:lastModifiedBy>
  <cp:revision>2</cp:revision>
  <dcterms:created xsi:type="dcterms:W3CDTF">2019-07-31T12:53:00Z</dcterms:created>
  <dcterms:modified xsi:type="dcterms:W3CDTF">2019-07-31T12:53:00Z</dcterms:modified>
</cp:coreProperties>
</file>